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pBdr>
        <w:spacing/>
        <w:ind/>
        <w:jc w:val="center"/>
        <w:rPr>
          <w:rFonts w:ascii="Arial" w:hAnsi="Arial" w:cs="Arial"/>
          <w:b/>
          <w:bCs/>
          <w:sz w:val="4"/>
          <w:szCs w:val="4"/>
        </w:rPr>
      </w:pPr>
      <w:r>
        <w:rPr>
          <w:rFonts w:ascii="Arial" w:hAnsi="Arial" w:cs="Arial"/>
          <w:b/>
          <w:bCs/>
          <w:sz w:val="4"/>
          <w:szCs w:val="4"/>
        </w:rPr>
      </w:r>
      <w:r>
        <w:rPr>
          <w:rFonts w:ascii="Arial" w:hAnsi="Arial" w:cs="Arial"/>
          <w:b/>
          <w:bCs/>
          <w:sz w:val="4"/>
          <w:szCs w:val="4"/>
        </w:rPr>
      </w:r>
    </w:p>
    <w:p>
      <w:pPr>
        <w:pBdr>
          <w:top w:val="none" w:color="000000" w:sz="4" w:space="0"/>
          <w:left w:val="none" w:color="000000" w:sz="4" w:space="0"/>
          <w:bottom w:val="none" w:color="000000" w:sz="4" w:space="0"/>
          <w:right w:val="none" w:color="000000" w:sz="4" w:space="0"/>
        </w:pBdr>
        <w:spacing/>
        <w:ind/>
        <w:jc w:val="center"/>
        <w:rPr>
          <w:rFonts w:ascii="Arial" w:hAnsi="Arial" w:eastAsia="Arial" w:cs="Arial"/>
          <w:b/>
          <w:bCs/>
          <w:sz w:val="32"/>
          <w:szCs w:val="32"/>
        </w:rPr>
      </w:pPr>
      <w:r>
        <w:rPr>
          <w:rFonts w:ascii="Arial" w:hAnsi="Arial" w:eastAsia="Arial" w:cs="Arial"/>
          <w:b/>
          <w:bCs/>
          <w:sz w:val="32"/>
          <w:szCs w:val="32"/>
        </w:rPr>
        <w:t xml:space="preserve">La plataforma ‘Sí a Almaraz, Sí al Futuro’, el comité de empresa y trabajadores de la última recarga prevista se movilizan para exigir la continuidad de la central y el mantenimiento del empleo</w:t>
      </w:r>
      <w:r>
        <w:rPr>
          <w:rFonts w:ascii="Arial" w:hAnsi="Arial" w:eastAsia="Arial" w:cs="Arial"/>
          <w:b/>
          <w:bCs/>
          <w:sz w:val="32"/>
          <w:szCs w:val="32"/>
        </w:rPr>
      </w:r>
    </w:p>
    <w:p>
      <w:pPr>
        <w:pBdr>
          <w:top w:val="none" w:color="000000" w:sz="4" w:space="0"/>
          <w:left w:val="none" w:color="000000" w:sz="4" w:space="0"/>
          <w:bottom w:val="none" w:color="000000" w:sz="4" w:space="0"/>
          <w:right w:val="none" w:color="000000" w:sz="4" w:space="0"/>
        </w:pBdr>
        <w:spacing/>
        <w:ind/>
        <w:jc w:val="center"/>
        <w:rPr>
          <w:rFonts w:ascii="Arial" w:hAnsi="Arial" w:cs="Arial"/>
          <w:b/>
          <w:bCs/>
          <w:sz w:val="24"/>
          <w:szCs w:val="24"/>
        </w:rPr>
      </w:pPr>
      <w:r>
        <w:rPr>
          <w:rFonts w:ascii="Arial" w:hAnsi="Arial" w:cs="Arial"/>
          <w:b/>
          <w:bCs/>
          <w:sz w:val="24"/>
          <w:szCs w:val="24"/>
        </w:rPr>
      </w:r>
      <w:r>
        <w:rPr>
          <w:rFonts w:ascii="Arial" w:hAnsi="Arial" w:cs="Arial"/>
          <w:b/>
          <w:bCs/>
          <w:sz w:val="24"/>
          <w:szCs w:val="24"/>
        </w:rPr>
      </w:r>
    </w:p>
    <w:p>
      <w:pPr>
        <w:pStyle w:val="1230"/>
        <w:numPr>
          <w:ilvl w:val="0"/>
          <w:numId w:val="43"/>
        </w:numPr>
        <w:pBdr>
          <w:top w:val="none" w:color="000000" w:sz="4" w:space="0"/>
          <w:left w:val="none" w:color="000000" w:sz="4" w:space="0"/>
          <w:bottom w:val="none" w:color="000000" w:sz="4" w:space="0"/>
          <w:right w:val="none" w:color="000000" w:sz="4" w:space="0"/>
        </w:pBdr>
        <w:spacing/>
        <w:ind/>
        <w:jc w:val="both"/>
        <w:rPr>
          <w:rFonts w:ascii="Arial" w:hAnsi="Arial" w:cs="Arial"/>
          <w:b/>
          <w:bCs/>
          <w:sz w:val="24"/>
          <w:szCs w:val="24"/>
          <w:highlight w:val="white"/>
        </w:rPr>
      </w:pPr>
      <w:r>
        <w:rPr>
          <w:rFonts w:ascii="Arial" w:hAnsi="Arial" w:eastAsia="Arial" w:cs="Arial"/>
          <w:b/>
          <w:bCs/>
          <w:sz w:val="24"/>
          <w:szCs w:val="24"/>
          <w:highlight w:val="white"/>
        </w:rPr>
        <w:t xml:space="preserve">La protesta coincide con la 31ª recarga de combustible de la Unidad 1 de la central, que podría ser la última si se mantiene el calendario de cierre nuclear. En ella están trabajando 1.200 profesionales adicionales a la plantilla habitual</w:t>
      </w:r>
      <w:r>
        <w:rPr>
          <w:rFonts w:ascii="Arial" w:hAnsi="Arial" w:eastAsia="Arial" w:cs="Arial"/>
          <w:b/>
          <w:bCs/>
          <w:sz w:val="24"/>
          <w:szCs w:val="24"/>
          <w:highlight w:val="white"/>
        </w:rPr>
        <w:t xml:space="preserve"> y </w:t>
      </w:r>
      <w:r>
        <w:rPr>
          <w:rFonts w:ascii="Arial" w:hAnsi="Arial" w:eastAsia="Arial" w:cs="Arial"/>
          <w:b/>
          <w:bCs/>
          <w:sz w:val="24"/>
          <w:szCs w:val="24"/>
          <w:highlight w:val="white"/>
        </w:rPr>
        <w:t xml:space="preserve">70 empresas</w:t>
      </w:r>
      <w:r>
        <w:rPr>
          <w:rFonts w:ascii="Arial" w:hAnsi="Arial" w:eastAsia="Arial" w:cs="Arial"/>
          <w:b/>
          <w:bCs/>
          <w:sz w:val="24"/>
          <w:szCs w:val="24"/>
          <w:highlight w:val="white"/>
        </w:rPr>
        <w:t xml:space="preserve">.</w:t>
      </w:r>
      <w:r>
        <w:rPr>
          <w:rFonts w:ascii="Arial" w:hAnsi="Arial" w:cs="Arial"/>
          <w:b/>
          <w:bCs/>
          <w:sz w:val="24"/>
          <w:szCs w:val="24"/>
          <w:highlight w:val="white"/>
        </w:rPr>
      </w:r>
    </w:p>
    <w:p>
      <w:pPr>
        <w:pStyle w:val="1230"/>
        <w:pBdr>
          <w:top w:val="none" w:color="000000" w:sz="4" w:space="0"/>
          <w:left w:val="none" w:color="000000" w:sz="4" w:space="0"/>
          <w:bottom w:val="none" w:color="000000" w:sz="4" w:space="0"/>
          <w:right w:val="none" w:color="000000" w:sz="4" w:space="0"/>
        </w:pBdr>
        <w:spacing/>
        <w:ind/>
        <w:jc w:val="both"/>
        <w:rPr>
          <w:rFonts w:ascii="Arial" w:hAnsi="Arial" w:cs="Arial"/>
          <w:b/>
          <w:bCs/>
          <w:sz w:val="24"/>
          <w:szCs w:val="24"/>
          <w:highlight w:val="white"/>
        </w:rPr>
      </w:pPr>
      <w:r>
        <w:rPr>
          <w:rFonts w:ascii="Arial" w:hAnsi="Arial" w:cs="Arial"/>
          <w:b/>
          <w:bCs/>
          <w:sz w:val="24"/>
          <w:szCs w:val="24"/>
          <w:highlight w:val="white"/>
        </w:rPr>
      </w:r>
      <w:r>
        <w:rPr>
          <w:rFonts w:ascii="Arial" w:hAnsi="Arial" w:cs="Arial"/>
          <w:b/>
          <w:bCs/>
          <w:sz w:val="24"/>
          <w:szCs w:val="24"/>
          <w:highlight w:val="white"/>
        </w:rPr>
      </w:r>
    </w:p>
    <w:p>
      <w:pPr>
        <w:pStyle w:val="1230"/>
        <w:numPr>
          <w:ilvl w:val="0"/>
          <w:numId w:val="43"/>
        </w:numPr>
        <w:pBdr>
          <w:top w:val="none" w:color="000000" w:sz="4" w:space="0"/>
          <w:left w:val="none" w:color="000000" w:sz="4" w:space="0"/>
          <w:bottom w:val="none" w:color="000000" w:sz="4" w:space="0"/>
          <w:right w:val="none" w:color="000000" w:sz="4" w:space="0"/>
        </w:pBdr>
        <w:spacing/>
        <w:ind/>
        <w:jc w:val="both"/>
        <w:rPr>
          <w:rFonts w:ascii="Arial" w:hAnsi="Arial" w:cs="Arial"/>
          <w:b/>
          <w:bCs w:val="0"/>
          <w:i w:val="0"/>
          <w:sz w:val="24"/>
          <w:szCs w:val="24"/>
          <w:highlight w:val="white"/>
        </w:rPr>
      </w:pPr>
      <w:r>
        <w:rPr>
          <w:rFonts w:ascii="Arial" w:hAnsi="Arial" w:eastAsia="Arial" w:cs="Arial"/>
          <w:b/>
          <w:bCs/>
          <w:sz w:val="24"/>
          <w:szCs w:val="24"/>
        </w:rPr>
        <w:t xml:space="preserve">‘Sí a Almaraz, Sí al futuro’ pide al Gobierno </w:t>
      </w:r>
      <w:r>
        <w:rPr>
          <w:rFonts w:ascii="Arial" w:hAnsi="Arial" w:eastAsia="Arial" w:cs="Arial"/>
          <w:i/>
          <w:iCs/>
          <w:sz w:val="24"/>
          <w:szCs w:val="24"/>
        </w:rPr>
        <w:t xml:space="preserve">«</w:t>
      </w:r>
      <w:r>
        <w:rPr>
          <w:rFonts w:ascii="Arial" w:hAnsi="Arial" w:eastAsia="Arial" w:cs="Arial"/>
          <w:b/>
          <w:bCs/>
          <w:i/>
          <w:sz w:val="24"/>
          <w:szCs w:val="24"/>
        </w:rPr>
        <w:t xml:space="preserve">que no cometa un error estratégico, especialmente en el actual contexto de subida de precios del gas por las guerras de Irán y Ucrania</w:t>
      </w:r>
      <w:r>
        <w:rPr>
          <w:rFonts w:ascii="Arial" w:hAnsi="Arial" w:eastAsia="Arial" w:cs="Arial"/>
          <w:b/>
          <w:i/>
          <w:iCs/>
          <w:sz w:val="24"/>
          <w:szCs w:val="24"/>
        </w:rPr>
        <w:t xml:space="preserve">»</w:t>
      </w:r>
      <w:r>
        <w:rPr>
          <w:rFonts w:ascii="Arial" w:hAnsi="Arial" w:eastAsia="Arial" w:cs="Arial"/>
          <w:b/>
          <w:bCs/>
          <w:i/>
          <w:sz w:val="24"/>
          <w:szCs w:val="24"/>
        </w:rPr>
        <w:t xml:space="preserve"> y reclama una decisión sobre su permanencia basada en criterios técnicos y de seguridad energética. </w:t>
      </w:r>
      <w:r>
        <w:rPr>
          <w:rFonts w:ascii="Arial" w:hAnsi="Arial" w:eastAsia="Arial" w:cs="Arial"/>
          <w:i/>
          <w:iCs/>
          <w:sz w:val="24"/>
          <w:szCs w:val="24"/>
        </w:rPr>
        <w:t xml:space="preserve">«</w:t>
      </w:r>
      <w:r>
        <w:rPr>
          <w:rFonts w:ascii="Arial" w:hAnsi="Arial" w:eastAsia="Arial" w:cs="Arial"/>
          <w:b/>
          <w:bCs/>
          <w:i/>
          <w:sz w:val="24"/>
          <w:szCs w:val="24"/>
        </w:rPr>
        <w:t xml:space="preserve">La </w:t>
      </w:r>
      <w:r>
        <w:rPr>
          <w:rFonts w:ascii="Arial" w:hAnsi="Arial" w:eastAsia="Arial" w:cs="Arial"/>
          <w:b/>
          <w:bCs/>
          <w:i/>
          <w:sz w:val="24"/>
          <w:szCs w:val="24"/>
          <w:highlight w:val="white"/>
        </w:rPr>
        <w:t xml:space="preserve">central nuclear es ahora más necesaria que nunca y resulta esencial dentro del sistema eléctrico español para la seguridad de suministro porque aporta energía síncrona, firme y constante las 24 horas del día</w:t>
      </w:r>
      <w:r>
        <w:rPr>
          <w:rFonts w:ascii="Arial" w:hAnsi="Arial" w:eastAsia="Arial" w:cs="Arial"/>
          <w:b/>
          <w:i/>
          <w:iCs/>
          <w:sz w:val="24"/>
          <w:szCs w:val="24"/>
        </w:rPr>
        <w:t xml:space="preserve">»</w:t>
      </w:r>
      <w:r>
        <w:rPr>
          <w:rFonts w:ascii="Arial" w:hAnsi="Arial" w:eastAsia="Arial" w:cs="Arial"/>
          <w:b/>
          <w:i w:val="0"/>
          <w:iCs w:val="0"/>
          <w:sz w:val="24"/>
          <w:szCs w:val="24"/>
        </w:rPr>
        <w:t xml:space="preserve">, afirma la plataforma</w:t>
      </w:r>
      <w:r>
        <w:rPr>
          <w:rFonts w:ascii="Arial" w:hAnsi="Arial" w:eastAsia="Arial" w:cs="Arial"/>
          <w:b/>
          <w:bCs/>
          <w:i w:val="0"/>
          <w:iCs w:val="0"/>
          <w:sz w:val="24"/>
          <w:szCs w:val="24"/>
          <w:highlight w:val="white"/>
        </w:rPr>
        <w:t xml:space="preserve">.</w:t>
      </w:r>
      <w:r>
        <w:rPr>
          <w:rFonts w:ascii="Arial" w:hAnsi="Arial" w:cs="Arial"/>
          <w:b/>
          <w:bCs/>
          <w:i w:val="0"/>
          <w:iCs w:val="0"/>
          <w:sz w:val="24"/>
          <w:szCs w:val="24"/>
          <w:highlight w:val="white"/>
        </w:rPr>
      </w:r>
    </w:p>
    <w:p>
      <w:pPr>
        <w:pStyle w:val="1230"/>
        <w:pBdr/>
        <w:spacing/>
        <w:ind/>
        <w:rPr>
          <w:rFonts w:ascii="Arial" w:hAnsi="Arial" w:cs="Arial"/>
          <w:b/>
          <w:bCs/>
          <w:sz w:val="24"/>
          <w:szCs w:val="24"/>
          <w:highlight w:val="white"/>
        </w:rPr>
      </w:pPr>
      <w:r>
        <w:rPr>
          <w:rFonts w:ascii="Arial" w:hAnsi="Arial" w:cs="Arial"/>
          <w:b/>
          <w:bCs/>
          <w:sz w:val="24"/>
          <w:szCs w:val="24"/>
          <w:highlight w:val="white"/>
        </w:rPr>
      </w:r>
      <w:r>
        <w:rPr>
          <w:rFonts w:ascii="Arial" w:hAnsi="Arial" w:cs="Arial"/>
          <w:b/>
          <w:bCs/>
          <w:sz w:val="24"/>
          <w:szCs w:val="24"/>
          <w:highlight w:val="white"/>
        </w:rPr>
      </w:r>
    </w:p>
    <w:p>
      <w:pPr>
        <w:pStyle w:val="1230"/>
        <w:numPr>
          <w:ilvl w:val="0"/>
          <w:numId w:val="43"/>
        </w:numPr>
        <w:pBdr>
          <w:top w:val="none" w:color="000000" w:sz="4" w:space="0"/>
          <w:left w:val="none" w:color="000000" w:sz="4" w:space="0"/>
          <w:bottom w:val="none" w:color="000000" w:sz="4" w:space="0"/>
          <w:right w:val="none" w:color="000000" w:sz="4" w:space="0"/>
        </w:pBdr>
        <w:spacing/>
        <w:ind/>
        <w:jc w:val="both"/>
        <w:rPr>
          <w:rFonts w:ascii="Arial" w:hAnsi="Arial" w:cs="Arial"/>
          <w:b/>
          <w:bCs/>
          <w:sz w:val="24"/>
          <w:szCs w:val="24"/>
          <w:highlight w:val="white"/>
        </w:rPr>
      </w:pPr>
      <w:r>
        <w:rPr>
          <w:rFonts w:ascii="Arial" w:hAnsi="Arial" w:eastAsia="Arial" w:cs="Arial"/>
          <w:b/>
          <w:bCs/>
          <w:sz w:val="24"/>
          <w:szCs w:val="24"/>
          <w:highlight w:val="white"/>
        </w:rPr>
        <w:t xml:space="preserve">Según el presidente del comité de empresa, </w:t>
      </w:r>
      <w:r>
        <w:rPr>
          <w:rFonts w:ascii="Arial" w:hAnsi="Arial" w:eastAsia="Arial" w:cs="Arial"/>
          <w:i/>
          <w:iCs/>
          <w:sz w:val="24"/>
          <w:szCs w:val="24"/>
        </w:rPr>
        <w:t xml:space="preserve">«</w:t>
      </w:r>
      <w:r>
        <w:rPr>
          <w:rFonts w:ascii="Arial" w:hAnsi="Arial" w:eastAsia="Arial" w:cs="Arial"/>
          <w:b/>
          <w:i/>
          <w:color w:val="000000"/>
          <w:sz w:val="24"/>
          <w:szCs w:val="24"/>
          <w:lang w:eastAsia="es-ES_tradnl"/>
        </w:rPr>
        <w:t xml:space="preserve">queremos que siga habiendo recargas en esta Central de Almaraz y que ahora nosotros y más adelante</w:t>
      </w:r>
      <w:r>
        <w:rPr>
          <w:rFonts w:ascii="Arial" w:hAnsi="Arial" w:eastAsia="Arial" w:cs="Arial"/>
          <w:b/>
          <w:i/>
          <w:color w:val="000000"/>
          <w:sz w:val="24"/>
          <w:szCs w:val="24"/>
          <w:lang w:eastAsia="es-ES_tradnl"/>
        </w:rPr>
        <w:t xml:space="preserve"> nuestros hijos tengan la oportunidad de seguir formando parte de ellas. No hay motivos ni razones para cerrar una Central que es un ejemplo internacional de trabajo bien hecho, de profesionalidad y de excelencia y que aporta riqueza y empleo a esta tierra</w:t>
      </w:r>
      <w:r>
        <w:rPr>
          <w:rFonts w:ascii="Arial" w:hAnsi="Arial" w:eastAsia="Arial" w:cs="Arial"/>
          <w:b/>
          <w:i/>
          <w:iCs/>
          <w:sz w:val="24"/>
          <w:szCs w:val="24"/>
        </w:rPr>
        <w:t xml:space="preserve">»</w:t>
      </w:r>
      <w:r>
        <w:rPr>
          <w:rFonts w:ascii="Arial" w:hAnsi="Arial" w:eastAsia="Arial" w:cs="Arial"/>
          <w:b/>
          <w:i/>
          <w:color w:val="000000"/>
          <w:sz w:val="24"/>
          <w:szCs w:val="24"/>
          <w:lang w:eastAsia="es-ES_tradnl"/>
        </w:rPr>
        <w:t xml:space="preserve">.</w:t>
      </w:r>
      <w:r>
        <w:rPr>
          <w:rFonts w:ascii="Arial" w:hAnsi="Arial" w:cs="Arial"/>
          <w:b/>
          <w:bCs/>
          <w:sz w:val="24"/>
          <w:szCs w:val="24"/>
          <w:highlight w:val="white"/>
        </w:rPr>
      </w:r>
    </w:p>
    <w:p>
      <w:pPr>
        <w:pBdr>
          <w:top w:val="none" w:color="000000" w:sz="4" w:space="0"/>
          <w:left w:val="none" w:color="000000" w:sz="4" w:space="0"/>
          <w:bottom w:val="none" w:color="000000" w:sz="4" w:space="0"/>
          <w:right w:val="none" w:color="000000" w:sz="4" w:space="0"/>
        </w:pBdr>
        <w:spacing/>
        <w:ind w:left="720"/>
        <w:jc w:val="both"/>
        <w:rPr>
          <w:rFonts w:ascii="Arial" w:hAnsi="Arial" w:cs="Arial"/>
          <w:b/>
          <w:bCs/>
          <w:sz w:val="24"/>
          <w:szCs w:val="24"/>
          <w:highlight w:val="white"/>
        </w:rPr>
      </w:pPr>
      <w:r>
        <w:rPr>
          <w:rFonts w:ascii="Arial" w:hAnsi="Arial" w:cs="Arial"/>
          <w:b/>
          <w:bCs/>
          <w:sz w:val="24"/>
          <w:szCs w:val="24"/>
          <w:highlight w:val="white"/>
        </w:rPr>
      </w:r>
      <w:r>
        <w:rPr>
          <w:rFonts w:ascii="Arial" w:hAnsi="Arial" w:cs="Arial"/>
          <w:b/>
          <w:bCs/>
          <w:sz w:val="24"/>
          <w:szCs w:val="24"/>
          <w:highlight w:val="white"/>
        </w:rPr>
      </w:r>
    </w:p>
    <w:p>
      <w:pPr>
        <w:pBdr>
          <w:top w:val="none" w:color="000000" w:sz="4" w:space="0"/>
          <w:left w:val="none" w:color="000000" w:sz="4" w:space="0"/>
          <w:bottom w:val="none" w:color="000000" w:sz="4" w:space="0"/>
          <w:right w:val="none" w:color="000000" w:sz="4" w:space="0"/>
        </w:pBdr>
        <w:spacing/>
        <w:ind/>
        <w:jc w:val="both"/>
        <w:rPr>
          <w:rFonts w:ascii="Arial" w:hAnsi="Arial" w:cs="Arial"/>
          <w:sz w:val="24"/>
          <w:szCs w:val="24"/>
        </w:rPr>
      </w:pPr>
      <w:r>
        <w:rPr>
          <w:rFonts w:ascii="Arial" w:hAnsi="Arial" w:eastAsia="Arial" w:cs="Arial"/>
          <w:b/>
          <w:sz w:val="24"/>
          <w:szCs w:val="24"/>
        </w:rPr>
        <w:t xml:space="preserve">Madrid, 15 de abril de 2026.- </w:t>
      </w:r>
      <w:r>
        <w:rPr>
          <w:rFonts w:ascii="Arial" w:hAnsi="Arial" w:eastAsia="Arial" w:cs="Arial"/>
          <w:sz w:val="24"/>
          <w:szCs w:val="24"/>
        </w:rPr>
        <w:t xml:space="preserve">Representantes del comité de empresa, trabajadores de </w:t>
      </w:r>
      <w:r>
        <w:rPr>
          <w:rFonts w:ascii="Arial" w:hAnsi="Arial" w:eastAsia="Arial" w:cs="Arial"/>
          <w:sz w:val="24"/>
          <w:szCs w:val="24"/>
        </w:rPr>
        <w:t xml:space="preserve">la Central y de </w:t>
      </w:r>
      <w:r>
        <w:rPr>
          <w:rFonts w:ascii="Arial" w:hAnsi="Arial" w:eastAsia="Arial" w:cs="Arial"/>
          <w:sz w:val="24"/>
          <w:szCs w:val="24"/>
        </w:rPr>
        <w:t xml:space="preserve">la recarga y miembros de la pl</w:t>
      </w:r>
      <w:r>
        <w:rPr>
          <w:rFonts w:ascii="Arial" w:hAnsi="Arial" w:eastAsia="Arial" w:cs="Arial"/>
          <w:sz w:val="24"/>
          <w:szCs w:val="24"/>
        </w:rPr>
        <w:t xml:space="preserve">ataforma ‘Sí a Almaraz, Sí al Futuro’ se han concentrado a las puertas del interior de la central nuclear de Almaraz para reclamar la continuidad de la instalación y exigir una decisión que garantice el futuro industrial, energético y social de la comarca.</w:t>
      </w:r>
      <w:r>
        <w:rPr>
          <w:rFonts w:ascii="Arial" w:hAnsi="Arial" w:cs="Arial"/>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cs="Arial"/>
          <w:sz w:val="24"/>
          <w:szCs w:val="24"/>
        </w:rPr>
      </w:pPr>
      <w:r>
        <w:rPr>
          <w:rFonts w:ascii="Arial" w:hAnsi="Arial" w:eastAsia="Arial" w:cs="Arial"/>
          <w:sz w:val="24"/>
          <w:szCs w:val="24"/>
        </w:rPr>
        <w:t xml:space="preserve">La movilización se produce en un momento especialmente simbólico, coincidiendo con el desarrollo de la 31ª recarga de combustible de la Unidad 1, un proceso que ha </w:t>
      </w:r>
      <w:r>
        <w:rPr>
          <w:rFonts w:ascii="Arial" w:hAnsi="Arial" w:eastAsia="Arial" w:cs="Arial"/>
          <w:sz w:val="24"/>
          <w:szCs w:val="24"/>
        </w:rPr>
        <w:t xml:space="preserve">supuesto la incorporación de cerca de 1.200 trabajadores adicionales</w:t>
      </w:r>
      <w:r>
        <w:rPr>
          <w:rFonts w:ascii="Arial" w:hAnsi="Arial" w:eastAsia="Arial" w:cs="Arial"/>
          <w:sz w:val="24"/>
          <w:szCs w:val="24"/>
        </w:rPr>
        <w:t xml:space="preserve"> y </w:t>
      </w:r>
      <w:r>
        <w:rPr>
          <w:rFonts w:ascii="Arial" w:hAnsi="Arial" w:eastAsia="Arial" w:cs="Arial"/>
          <w:sz w:val="24"/>
          <w:szCs w:val="24"/>
        </w:rPr>
        <w:t xml:space="preserve">unas 70 empresas colaboradoras.</w:t>
      </w:r>
      <w:r>
        <w:rPr>
          <w:rFonts w:ascii="Arial" w:hAnsi="Arial" w:cs="Arial"/>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cs="Arial"/>
          <w:sz w:val="24"/>
          <w:szCs w:val="24"/>
        </w:rPr>
      </w:pPr>
      <w:r>
        <w:rPr>
          <w:rFonts w:ascii="Arial" w:hAnsi="Arial" w:eastAsia="Arial" w:cs="Arial"/>
          <w:sz w:val="24"/>
          <w:szCs w:val="24"/>
        </w:rPr>
        <w:t xml:space="preserve">Desde la plataforma recuerdan que el futuro de la instalación depende ahora de la decisión del Ministerio p</w:t>
      </w:r>
      <w:r>
        <w:rPr>
          <w:rFonts w:ascii="Arial" w:hAnsi="Arial" w:eastAsia="Arial" w:cs="Arial"/>
          <w:sz w:val="24"/>
          <w:szCs w:val="24"/>
        </w:rPr>
        <w:t xml:space="preserve">ara la Transición Ecológica y el Reto Demográfico sobre la prolongación de su actividad más allá de 2027, en un contexto internacional marcado por la necesidad de garantizar la seguridad de suministro, la estabilidad de precios y la reducción de emisiones.</w:t>
      </w:r>
      <w:r>
        <w:rPr>
          <w:rFonts w:ascii="Arial" w:hAnsi="Arial" w:cs="Arial"/>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cs="Arial"/>
          <w:i/>
          <w:iCs/>
          <w:sz w:val="24"/>
          <w:szCs w:val="24"/>
        </w:rPr>
      </w:pPr>
      <w:r>
        <w:rPr>
          <w:rFonts w:ascii="Arial" w:hAnsi="Arial" w:eastAsia="Arial" w:cs="Arial"/>
          <w:sz w:val="24"/>
          <w:szCs w:val="24"/>
        </w:rPr>
        <w:t xml:space="preserve">En este sentido, el presidente de la plataforma, Fernando Sánchez, ha advertido de las consecuencias catastróficas de un eventual cierre y ha subrayado que</w:t>
      </w:r>
      <w:r>
        <w:rPr>
          <w:rFonts w:ascii="Arial" w:hAnsi="Arial" w:eastAsia="Arial" w:cs="Arial"/>
          <w:sz w:val="24"/>
          <w:szCs w:val="24"/>
        </w:rPr>
        <w:t xml:space="preserve"> </w:t>
      </w:r>
      <w:r>
        <w:rPr>
          <w:rFonts w:ascii="Arial" w:hAnsi="Arial" w:eastAsia="Arial" w:cs="Arial"/>
          <w:i/>
          <w:iCs/>
          <w:sz w:val="24"/>
          <w:szCs w:val="24"/>
        </w:rPr>
        <w:t xml:space="preserve">«</w:t>
      </w:r>
      <w:r>
        <w:rPr>
          <w:rFonts w:ascii="Arial" w:hAnsi="Arial" w:eastAsia="Arial" w:cs="Arial"/>
          <w:i/>
          <w:iCs/>
          <w:sz w:val="24"/>
          <w:szCs w:val="24"/>
        </w:rPr>
        <w:t xml:space="preserve">d</w:t>
      </w:r>
      <w:r>
        <w:rPr>
          <w:rFonts w:ascii="Arial" w:hAnsi="Arial" w:eastAsia="Arial" w:cs="Arial"/>
          <w:i/>
          <w:iCs/>
          <w:sz w:val="24"/>
          <w:szCs w:val="24"/>
        </w:rPr>
        <w:t xml:space="preserve">esde ‘Sí a Almaraz, Sí al Futuro’ exigimos una decisión rápida del Gobie</w:t>
      </w:r>
      <w:r>
        <w:rPr>
          <w:rFonts w:ascii="Arial" w:hAnsi="Arial" w:eastAsia="Arial" w:cs="Arial"/>
          <w:i/>
          <w:iCs/>
          <w:sz w:val="24"/>
          <w:szCs w:val="24"/>
        </w:rPr>
        <w:t xml:space="preserve">rno que suponga el mantenimiento de la actividad de la central porque la espera llena de desasosiego a miles de trabajadores que se ven sometidos a la incertidumbre. En Almaraz no podemos vivir pensando en que van a desmantelar la primera industria de Extr</w:t>
      </w:r>
      <w:r>
        <w:rPr>
          <w:rFonts w:ascii="Arial" w:hAnsi="Arial" w:eastAsia="Arial" w:cs="Arial"/>
          <w:i/>
          <w:iCs/>
          <w:sz w:val="24"/>
          <w:szCs w:val="24"/>
        </w:rPr>
        <w:t xml:space="preserve">emadura, nuestro modo de vida, cuando funciona perfectamente y cuando desde Europa le han pedido que no lo haga. El cierre sería un grave error estratégico y un desatino teniendo en cuenta las políticas energéticas que existen en nuestros países vecinos». </w:t>
      </w:r>
      <w:r>
        <w:rPr>
          <w:rFonts w:ascii="Arial" w:hAnsi="Arial" w:cs="Arial"/>
          <w:i/>
          <w:iCs/>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eastAsia="Arial" w:cs="Arial"/>
          <w:bCs/>
          <w:i/>
          <w:sz w:val="24"/>
          <w:szCs w:val="24"/>
          <w14:ligatures w14:val="none"/>
        </w:rPr>
      </w:pPr>
      <w:r>
        <w:rPr>
          <w:rFonts w:ascii="Arial" w:hAnsi="Arial" w:eastAsia="Arial" w:cs="Arial"/>
          <w:sz w:val="24"/>
          <w:szCs w:val="24"/>
        </w:rPr>
        <w:t xml:space="preserve">Asimismo, Patricia Rubio, jefa de la Oficina Técnica de Operación, vocal de la Plataforma, y miembro del colectivo ‘Mujeres por Almaraz’, ha subrayado que </w:t>
      </w:r>
      <w:r>
        <w:rPr>
          <w:rFonts w:ascii="Arial" w:hAnsi="Arial" w:eastAsia="Arial" w:cs="Arial"/>
          <w:i/>
          <w:iCs/>
          <w:sz w:val="24"/>
          <w:szCs w:val="24"/>
          <w:lang w:val="undefined"/>
        </w:rPr>
        <w:t xml:space="preserve">«</w:t>
      </w:r>
      <w:r>
        <w:rPr>
          <w:rFonts w:ascii="Arial" w:hAnsi="Arial" w:eastAsia="Arial" w:cs="Arial"/>
          <w:i/>
          <w:iCs/>
          <w:sz w:val="24"/>
          <w:szCs w:val="24"/>
          <w:lang w:val="undefined" w:eastAsia="es-ES_tradnl"/>
        </w:rPr>
        <w:t xml:space="preserve">e</w:t>
      </w:r>
      <w:r>
        <w:rPr>
          <w:rFonts w:ascii="Arial" w:hAnsi="Arial" w:eastAsia="Arial" w:cs="Arial"/>
          <w:i/>
          <w:iCs/>
          <w:sz w:val="24"/>
          <w:szCs w:val="24"/>
          <w:lang w:val="undefined" w:eastAsia="es-ES_tradnl"/>
        </w:rPr>
        <w:t xml:space="preserve">n recargas como esta se va modernizando y actualizando la central, por lo que está preparada para operar muchos más años como ya lo hace su gemela, la central de No</w:t>
      </w:r>
      <w:r>
        <w:rPr>
          <w:rFonts w:ascii="Arial" w:hAnsi="Arial" w:eastAsia="Arial" w:cs="Arial"/>
          <w:i/>
          <w:iCs/>
          <w:sz w:val="24"/>
          <w:szCs w:val="24"/>
          <w:lang w:val="undefined" w:eastAsia="es-ES_tradnl"/>
        </w:rPr>
        <w:t xml:space="preserve">r</w:t>
      </w:r>
      <w:r>
        <w:rPr>
          <w:rFonts w:ascii="Arial" w:hAnsi="Arial" w:eastAsia="Arial" w:cs="Arial"/>
          <w:i/>
          <w:iCs/>
          <w:sz w:val="24"/>
          <w:szCs w:val="24"/>
          <w:lang w:val="undefined" w:eastAsia="es-ES_tradnl"/>
        </w:rPr>
        <w:t xml:space="preserve">th Anna</w:t>
      </w:r>
      <w:r>
        <w:rPr>
          <w:rFonts w:ascii="Arial" w:hAnsi="Arial" w:eastAsia="Arial" w:cs="Arial"/>
          <w:i/>
          <w:iCs/>
          <w:sz w:val="24"/>
          <w:szCs w:val="24"/>
          <w:lang w:val="undefined" w:eastAsia="es-ES_tradnl"/>
        </w:rPr>
        <w:t xml:space="preserve"> que tiene autorización para funcionar 80 años, hasta 2063</w:t>
      </w:r>
      <w:r>
        <w:rPr>
          <w:rFonts w:ascii="Arial" w:hAnsi="Arial" w:eastAsia="Arial" w:cs="Arial"/>
          <w:i/>
          <w:iCs/>
          <w:sz w:val="24"/>
          <w:szCs w:val="24"/>
          <w:lang w:val="undefined" w:eastAsia="es-ES_tradnl"/>
        </w:rPr>
        <w:t xml:space="preserve">. Y un hito a destacar es que las recargas de Almaraz son también un ejemplo de seguridad laboral: estamos ahora mismo en la octava recarga consecutiva sin accidentes</w:t>
      </w:r>
      <w:r>
        <w:rPr>
          <w:rFonts w:ascii="Arial" w:hAnsi="Arial" w:eastAsia="Arial" w:cs="Arial"/>
          <w:i/>
          <w:iCs/>
          <w:sz w:val="24"/>
          <w:szCs w:val="24"/>
          <w:lang w:val="undefined"/>
        </w:rPr>
        <w:t xml:space="preserve">»</w:t>
      </w:r>
      <w:r>
        <w:rPr>
          <w:rFonts w:ascii="Arial" w:hAnsi="Arial" w:eastAsia="Arial" w:cs="Arial"/>
          <w:i/>
          <w:iCs/>
          <w:sz w:val="24"/>
          <w:szCs w:val="24"/>
          <w:lang w:val="es-ES"/>
        </w:rPr>
        <w:t xml:space="preserve">.</w:t>
      </w:r>
      <w:r>
        <w:rPr>
          <w:rFonts w:ascii="Arial" w:hAnsi="Arial" w:eastAsia="Arial" w:cs="Arial"/>
          <w:i/>
          <w:iCs/>
          <w:sz w:val="24"/>
          <w:szCs w:val="24"/>
          <w:lang w:val="undefined"/>
        </w:rPr>
      </w:r>
    </w:p>
    <w:p>
      <w:pPr>
        <w:pBdr>
          <w:top w:val="none" w:color="000000" w:sz="4" w:space="0"/>
          <w:left w:val="none" w:color="000000" w:sz="4" w:space="0"/>
          <w:bottom w:val="none" w:color="000000" w:sz="4" w:space="0"/>
          <w:right w:val="none" w:color="000000" w:sz="4" w:space="0"/>
        </w:pBdr>
        <w:spacing/>
        <w:ind/>
        <w:jc w:val="both"/>
        <w:rPr>
          <w:rFonts w:ascii="Arial" w:hAnsi="Arial" w:cs="Arial"/>
          <w:bCs/>
          <w:i/>
          <w:sz w:val="24"/>
          <w:szCs w:val="24"/>
        </w:rPr>
      </w:pPr>
      <w:r>
        <w:rPr>
          <w:rFonts w:ascii="Arial" w:hAnsi="Arial" w:eastAsia="Arial" w:cs="Arial"/>
          <w:sz w:val="24"/>
          <w:szCs w:val="24"/>
        </w:rPr>
        <w:t xml:space="preserve">Para Patricia Rubio, que forma parte también del colectivo de mujeres por Almaraz</w:t>
      </w:r>
      <w:r>
        <w:rPr>
          <w:rFonts w:ascii="Arial" w:hAnsi="Arial" w:eastAsia="Arial" w:cs="Arial"/>
          <w:i/>
          <w:iCs/>
          <w:sz w:val="24"/>
          <w:szCs w:val="24"/>
        </w:rPr>
        <w:t xml:space="preserve">,</w:t>
      </w:r>
      <w:r>
        <w:rPr>
          <w:rFonts w:ascii="Arial" w:hAnsi="Arial" w:eastAsia="Arial" w:cs="Arial"/>
          <w:i/>
          <w:iCs/>
          <w:sz w:val="24"/>
          <w:szCs w:val="24"/>
        </w:rPr>
        <w:t xml:space="preserve"> «el desmantelamiento de la central sería absurdo, sobre todo tras el </w:t>
      </w:r>
      <w:r>
        <w:rPr>
          <w:rFonts w:ascii="Arial" w:hAnsi="Arial" w:eastAsia="Arial" w:cs="Arial"/>
          <w:i/>
          <w:iCs/>
          <w:sz w:val="24"/>
          <w:szCs w:val="24"/>
        </w:rPr>
        <w:t xml:space="preserve">último</w:t>
      </w:r>
      <w:r>
        <w:rPr>
          <w:rFonts w:ascii="Arial" w:hAnsi="Arial" w:eastAsia="Arial" w:cs="Arial"/>
          <w:i/>
          <w:iCs/>
          <w:sz w:val="24"/>
          <w:szCs w:val="24"/>
        </w:rPr>
        <w:t xml:space="preserve"> apagón y con la volatilidad de los precios del gas pro</w:t>
      </w:r>
      <w:r>
        <w:rPr>
          <w:rFonts w:ascii="Arial" w:hAnsi="Arial" w:eastAsia="Arial" w:cs="Arial"/>
          <w:i/>
          <w:iCs/>
          <w:sz w:val="24"/>
          <w:szCs w:val="24"/>
        </w:rPr>
        <w:t xml:space="preserve">vocada por las guerras de Ucrania e Irán. El parque nuclear español aporta el 20 % de la generación de electricidad y resulta esencial para la seguridad de suministro del sistema eléctrico español porque aportan energía síncrona, estable y constante 24/7».</w:t>
      </w:r>
      <w:r>
        <w:rPr>
          <w:rFonts w:ascii="Arial" w:hAnsi="Arial" w:cs="Arial"/>
          <w:bCs/>
          <w:i/>
          <w:sz w:val="24"/>
          <w:szCs w:val="24"/>
        </w:rPr>
      </w:r>
    </w:p>
    <w:p>
      <w:pPr>
        <w:pBdr/>
        <w:spacing/>
        <w:ind/>
        <w:jc w:val="both"/>
        <w:rPr>
          <w:rFonts w:ascii="Arial" w:hAnsi="Arial" w:cs="Arial"/>
          <w:i/>
          <w:sz w:val="24"/>
          <w:szCs w:val="24"/>
        </w:rPr>
      </w:pPr>
      <w:r>
        <w:rPr>
          <w:rFonts w:ascii="Arial" w:hAnsi="Arial" w:eastAsia="Arial" w:cs="Arial"/>
          <w:sz w:val="24"/>
          <w:szCs w:val="24"/>
        </w:rPr>
        <w:t xml:space="preserve">Por su parte, el presidente del comité de empresa, Borja Romero, ha asegurado </w:t>
      </w:r>
      <w:r>
        <w:rPr>
          <w:rFonts w:ascii="Arial" w:hAnsi="Arial" w:eastAsia="Arial" w:cs="Arial"/>
          <w:i/>
          <w:iCs/>
          <w:sz w:val="24"/>
          <w:szCs w:val="24"/>
        </w:rPr>
        <w:t xml:space="preserve">que </w:t>
      </w:r>
      <w:r>
        <w:rPr>
          <w:rFonts w:ascii="Arial" w:hAnsi="Arial" w:eastAsia="Arial" w:cs="Arial"/>
          <w:i/>
          <w:iCs/>
          <w:sz w:val="24"/>
          <w:szCs w:val="24"/>
        </w:rPr>
        <w:t xml:space="preserve">«</w:t>
      </w:r>
      <w:r>
        <w:rPr>
          <w:rFonts w:ascii="Arial" w:hAnsi="Arial" w:eastAsia="Arial" w:cs="Arial"/>
          <w:i/>
          <w:color w:val="000000"/>
          <w:sz w:val="24"/>
          <w:szCs w:val="24"/>
          <w:lang w:eastAsia="es-ES_tradnl"/>
        </w:rPr>
        <w:t xml:space="preserve">e</w:t>
      </w:r>
      <w:r>
        <w:rPr>
          <w:rFonts w:ascii="Arial" w:hAnsi="Arial" w:eastAsia="Arial" w:cs="Arial"/>
          <w:i/>
          <w:color w:val="000000"/>
          <w:sz w:val="24"/>
          <w:szCs w:val="24"/>
          <w:lang w:eastAsia="es-ES_tradnl"/>
        </w:rPr>
        <w:t xml:space="preserve">n el día de hoy, a través de esta concentración, queremos poner en valor el excepcional </w:t>
      </w:r>
      <w:r>
        <w:rPr>
          <w:rFonts w:ascii="Arial" w:hAnsi="Arial" w:eastAsia="Arial" w:cs="Arial"/>
          <w:i/>
          <w:color w:val="000000"/>
          <w:sz w:val="24"/>
          <w:szCs w:val="24"/>
          <w:lang w:eastAsia="es-ES_tradnl"/>
        </w:rPr>
        <w:t xml:space="preserve">trabajo que están desarrollando los más de 2</w:t>
      </w:r>
      <w:r>
        <w:rPr>
          <w:rFonts w:ascii="Arial" w:hAnsi="Arial" w:eastAsia="Arial" w:cs="Arial"/>
          <w:i/>
          <w:color w:val="000000"/>
          <w:sz w:val="24"/>
          <w:szCs w:val="24"/>
          <w:lang w:eastAsia="es-ES_tradnl"/>
        </w:rPr>
        <w:t xml:space="preserve">.</w:t>
      </w:r>
      <w:r>
        <w:rPr>
          <w:rFonts w:ascii="Arial" w:hAnsi="Arial" w:eastAsia="Arial" w:cs="Arial"/>
          <w:i/>
          <w:color w:val="000000"/>
          <w:sz w:val="24"/>
          <w:szCs w:val="24"/>
          <w:lang w:eastAsia="es-ES_tradnl"/>
        </w:rPr>
        <w:t xml:space="preserve">100 trabajadores que cada día de recarga entran a esta Central Nuclear de Almaraz para participar en las más de 10.000 ordenes de trabajo planificadas durante este per</w:t>
      </w:r>
      <w:r>
        <w:rPr>
          <w:rFonts w:ascii="Arial" w:hAnsi="Arial" w:eastAsia="Arial" w:cs="Arial"/>
          <w:i/>
          <w:color w:val="000000"/>
          <w:sz w:val="24"/>
          <w:szCs w:val="24"/>
          <w:lang w:eastAsia="es-ES_tradnl"/>
        </w:rPr>
        <w:t xml:space="preserve">iodo. Este equipo de profesionales hace posible día a día el éxito de una Central que es un referente mundial. Y queremos seguirlo haciendo en el futuro. Queremos que siga habiendo recargas en esta Central de Almaraz y que ahora nosotros y más adelante</w:t>
      </w:r>
      <w:r>
        <w:rPr>
          <w:rFonts w:ascii="Arial" w:hAnsi="Arial" w:eastAsia="Arial" w:cs="Arial"/>
          <w:i/>
          <w:color w:val="000000"/>
          <w:sz w:val="24"/>
          <w:szCs w:val="24"/>
          <w:lang w:eastAsia="es-ES_tradnl"/>
        </w:rPr>
        <w:t xml:space="preserve"> nuestros hijos tengan la oportunidad de seguir formando parte de ellas. No hay motivos ni razones para cerrar una Central que es un ejemplo internacional de trabajo bien hecho, de profesionalidad y de excelencia y que aporta riqueza y empleo a esta tierra</w:t>
      </w:r>
      <w:r>
        <w:rPr>
          <w:rFonts w:ascii="Arial" w:hAnsi="Arial" w:eastAsia="Arial" w:cs="Arial"/>
          <w:i/>
          <w:iCs/>
          <w:sz w:val="24"/>
          <w:szCs w:val="24"/>
        </w:rPr>
        <w:t xml:space="preserve">»</w:t>
      </w:r>
      <w:r>
        <w:rPr>
          <w:rFonts w:ascii="Arial" w:hAnsi="Arial" w:eastAsia="Arial" w:cs="Arial"/>
          <w:i/>
          <w:color w:val="000000"/>
          <w:sz w:val="24"/>
          <w:szCs w:val="24"/>
          <w:lang w:eastAsia="es-ES_tradnl"/>
        </w:rPr>
        <w:t xml:space="preserve">.</w:t>
      </w:r>
      <w:r>
        <w:rPr>
          <w:rFonts w:ascii="Arial" w:hAnsi="Arial" w:cs="Arial"/>
          <w:i/>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cs="Arial"/>
          <w:sz w:val="24"/>
          <w:szCs w:val="24"/>
        </w:rPr>
      </w:pPr>
      <w:r>
        <w:rPr>
          <w:rFonts w:ascii="Arial" w:hAnsi="Arial" w:eastAsia="Arial" w:cs="Arial"/>
          <w:sz w:val="24"/>
          <w:szCs w:val="24"/>
        </w:rPr>
        <w:t xml:space="preserve">La central, que genera alrededor de 4.000 empleos directos e indirectos en su entorno, constituye uno de los principales polos de actividad económica de la región y es un elemento clave para la cohesión territorial de Extremadura. </w:t>
      </w:r>
      <w:r>
        <w:rPr>
          <w:rFonts w:ascii="Arial" w:hAnsi="Arial" w:cs="Arial"/>
          <w:sz w:val="24"/>
          <w:szCs w:val="24"/>
        </w:rPr>
      </w:r>
    </w:p>
    <w:p>
      <w:pPr>
        <w:pBdr>
          <w:top w:val="none" w:color="000000" w:sz="4" w:space="0"/>
          <w:left w:val="none" w:color="000000" w:sz="4" w:space="0"/>
          <w:bottom w:val="none" w:color="000000" w:sz="4" w:space="0"/>
          <w:right w:val="none" w:color="000000" w:sz="4" w:space="0"/>
        </w:pBdr>
        <w:spacing/>
        <w:ind/>
        <w:jc w:val="both"/>
        <w:rPr>
          <w:rFonts w:ascii="Arial" w:hAnsi="Arial" w:cs="Arial"/>
          <w:sz w:val="24"/>
          <w:szCs w:val="24"/>
        </w:rPr>
      </w:pPr>
      <w:r>
        <w:rPr>
          <w:rFonts w:ascii="Arial" w:hAnsi="Arial" w:eastAsia="Arial" w:cs="Arial"/>
          <w:sz w:val="24"/>
          <w:szCs w:val="24"/>
        </w:rPr>
        <w:t xml:space="preserve">La protesta de hoy se enmarca en una s</w:t>
      </w:r>
      <w:r>
        <w:rPr>
          <w:rFonts w:ascii="Arial" w:hAnsi="Arial" w:eastAsia="Arial" w:cs="Arial"/>
          <w:sz w:val="24"/>
          <w:szCs w:val="24"/>
        </w:rPr>
        <w:t xml:space="preserve">erie de acciones impulsadas por trabajadores y sociedad civil para trasladar a las instituciones la importancia de adoptar una decisión que asegure el futuro de la central y, con ella, el desarrollo económico y social de toda la comarca del Campo Arañuelo.</w:t>
      </w:r>
      <w:r>
        <w:rPr>
          <w:rFonts w:ascii="Arial" w:hAnsi="Arial" w:cs="Arial"/>
          <w:sz w:val="24"/>
          <w:szCs w:val="24"/>
        </w:rPr>
      </w:r>
    </w:p>
    <w:p>
      <w:pPr>
        <w:pStyle w:val="1230"/>
        <w:numPr>
          <w:ilvl w:val="0"/>
          <w:numId w:val="39"/>
        </w:numPr>
        <w:pBdr/>
        <w:spacing w:after="240" w:before="240"/>
        <w:ind/>
        <w:jc w:val="both"/>
        <w:rPr>
          <w:rFonts w:ascii="Arial" w:hAnsi="Arial" w:cs="Arial"/>
          <w:b/>
          <w:bCs/>
          <w:sz w:val="24"/>
          <w:szCs w:val="24"/>
          <w:highlight w:val="white"/>
          <w:u w:val="single"/>
        </w:rPr>
      </w:pPr>
      <w:r>
        <w:rPr>
          <w:rFonts w:ascii="Arial" w:hAnsi="Arial" w:eastAsia="Arial" w:cs="Arial"/>
          <w:b/>
          <w:bCs/>
          <w:sz w:val="24"/>
          <w:szCs w:val="24"/>
          <w:highlight w:val="white"/>
          <w:u w:val="single"/>
        </w:rPr>
        <w:t xml:space="preserve">Accede a material </w:t>
      </w:r>
      <w:r>
        <w:rPr>
          <w:rFonts w:ascii="Arial" w:hAnsi="Arial" w:eastAsia="Arial" w:cs="Arial"/>
          <w:b/>
          <w:bCs/>
          <w:sz w:val="24"/>
          <w:szCs w:val="24"/>
          <w:highlight w:val="white"/>
          <w:u w:val="single"/>
        </w:rPr>
        <w:t xml:space="preserve">fotográfico y </w:t>
      </w:r>
      <w:r>
        <w:rPr>
          <w:rFonts w:ascii="Arial" w:hAnsi="Arial" w:eastAsia="Arial" w:cs="Arial"/>
          <w:b/>
          <w:bCs/>
          <w:sz w:val="24"/>
          <w:szCs w:val="24"/>
          <w:highlight w:val="white"/>
          <w:u w:val="single"/>
        </w:rPr>
        <w:t xml:space="preserve">audiovisual </w:t>
      </w:r>
      <w:hyperlink r:id="rId13" w:tooltip="https://drive.google.com/drive/folders/1f_o59RB0h6S6n0Gg5dnKposv729Mbi-c" w:history="1">
        <w:r>
          <w:rPr>
            <w:rStyle w:val="1225"/>
            <w:rFonts w:ascii="Arial" w:hAnsi="Arial" w:eastAsia="Arial" w:cs="Arial"/>
            <w:b/>
            <w:bCs/>
            <w:sz w:val="24"/>
            <w:szCs w:val="24"/>
            <w:highlight w:val="white"/>
          </w:rPr>
          <w:t xml:space="preserve">aquí</w:t>
        </w:r>
      </w:hyperlink>
      <w:r>
        <w:rPr>
          <w:rFonts w:ascii="Arial" w:hAnsi="Arial" w:eastAsia="Arial" w:cs="Arial"/>
          <w:b/>
          <w:bCs/>
          <w:sz w:val="24"/>
          <w:szCs w:val="24"/>
          <w:highlight w:val="white"/>
          <w:u w:val="single"/>
        </w:rPr>
        <w:t xml:space="preserve">. </w:t>
      </w:r>
      <w:r>
        <w:rPr>
          <w:rFonts w:ascii="Arial" w:hAnsi="Arial" w:cs="Arial"/>
          <w:b/>
          <w:bCs/>
          <w:sz w:val="24"/>
          <w:szCs w:val="24"/>
          <w:highlight w:val="white"/>
          <w:u w:val="single"/>
        </w:rPr>
      </w:r>
    </w:p>
    <w:p>
      <w:pPr>
        <w:pBdr/>
        <w:spacing/>
        <w:ind/>
        <w:jc w:val="both"/>
        <w:rPr>
          <w:rFonts w:ascii="Arial" w:hAnsi="Arial" w:cs="Arial"/>
          <w:b/>
          <w:bCs/>
        </w:rPr>
      </w:pPr>
      <w:r>
        <w:rPr>
          <w:rFonts w:ascii="Arial" w:hAnsi="Arial" w:cs="Arial"/>
          <w:b/>
          <w:bCs/>
        </w:rPr>
      </w:r>
      <w:r>
        <w:rPr>
          <w:rFonts w:ascii="Arial" w:hAnsi="Arial" w:cs="Arial"/>
          <w:b/>
          <w:bCs/>
        </w:rPr>
      </w:r>
    </w:p>
    <w:p>
      <w:pPr>
        <w:pBdr/>
        <w:spacing/>
        <w:ind/>
        <w:jc w:val="both"/>
        <w:rPr>
          <w:rFonts w:ascii="Arial" w:hAnsi="Arial" w:cs="Arial"/>
          <w:b/>
          <w:bCs/>
        </w:rPr>
      </w:pPr>
      <w:r>
        <w:rPr>
          <w:rFonts w:ascii="Arial" w:hAnsi="Arial" w:eastAsia="Arial" w:cs="Arial"/>
          <w:b/>
          <w:bCs/>
        </w:rPr>
        <w:t xml:space="preserve">Sobre la plataforma ‘</w:t>
      </w:r>
      <w:hyperlink r:id="rId14" w:tooltip="https://sialmaraz.es/" w:history="1">
        <w:r>
          <w:rPr>
            <w:rStyle w:val="1225"/>
            <w:rFonts w:ascii="Arial" w:hAnsi="Arial" w:eastAsia="Arial" w:cs="Arial"/>
            <w:b/>
            <w:bCs/>
          </w:rPr>
          <w:t xml:space="preserve">Sí a Almaraz, Sí al futuro</w:t>
        </w:r>
      </w:hyperlink>
      <w:r>
        <w:rPr>
          <w:rFonts w:ascii="Arial" w:hAnsi="Arial" w:eastAsia="Arial" w:cs="Arial"/>
          <w:b/>
          <w:bCs/>
        </w:rPr>
        <w:t xml:space="preserve">’ </w:t>
      </w:r>
      <w:r>
        <w:rPr>
          <w:rFonts w:ascii="Arial" w:hAnsi="Arial" w:cs="Arial"/>
          <w:b/>
          <w:bCs/>
        </w:rPr>
      </w:r>
    </w:p>
    <w:p>
      <w:pPr>
        <w:pBdr/>
        <w:spacing/>
        <w:ind/>
        <w:jc w:val="both"/>
        <w:rPr>
          <w:rFonts w:ascii="Arial" w:hAnsi="Arial" w:cs="Arial"/>
        </w:rPr>
      </w:pPr>
      <w:r>
        <w:rPr>
          <w:rFonts w:ascii="Arial" w:hAnsi="Arial" w:eastAsia="Arial" w:cs="Arial"/>
        </w:rPr>
        <w:t xml:space="preserve">Esta plataforma nace en enero de 2025 con un amplio respaldo ciudadano, casi un centenar de entidades adheridas y el objetivo de defender el futuro económico, social y medioambiental de Extremadura. El cier</w:t>
      </w:r>
      <w:r>
        <w:rPr>
          <w:rFonts w:ascii="Arial" w:hAnsi="Arial" w:eastAsia="Arial" w:cs="Arial"/>
        </w:rPr>
        <w:t xml:space="preserve">re de la central de Almaraz, el primero previsto dentro del plan de desmantelamiento del parque nuclear español, supondría la destrucción de unos 4.000 empleos directos e indirectos en la región, con el consiguiente despoblamiento de la ya España vaciada. </w:t>
      </w:r>
      <w:r>
        <w:rPr>
          <w:rFonts w:ascii="Arial" w:hAnsi="Arial" w:cs="Arial"/>
        </w:rPr>
      </w:r>
    </w:p>
    <w:p>
      <w:pPr>
        <w:pBdr/>
        <w:spacing/>
        <w:ind/>
        <w:jc w:val="both"/>
        <w:rPr>
          <w:rFonts w:ascii="Arial" w:hAnsi="Arial" w:cs="Arial"/>
        </w:rPr>
      </w:pPr>
      <w:r>
        <w:rPr>
          <w:rFonts w:ascii="Arial" w:hAnsi="Arial" w:eastAsia="Arial" w:cs="Arial"/>
        </w:rPr>
        <w:t xml:space="preserve">Almaraz cubre el 7% de la demanda de electricidad anual de nuestro país y abastece a 4 millones de hogares. La energía qu</w:t>
      </w:r>
      <w:r>
        <w:rPr>
          <w:rFonts w:ascii="Arial" w:hAnsi="Arial" w:eastAsia="Arial" w:cs="Arial"/>
        </w:rPr>
        <w:t xml:space="preserve">e proporciona es limpia, estable y segura y evita la emisión a la atmósfera de 6 millones de toneladas de CO₂ al año, contribuyendo a la lucha contra el cambio climático. Es el equivalente a 12 millones de vuelos de ida y vuelta entre Londres y Nueva York.</w:t>
      </w:r>
      <w:r>
        <w:rPr>
          <w:rFonts w:ascii="Arial" w:hAnsi="Arial" w:cs="Arial"/>
        </w:rPr>
      </w:r>
    </w:p>
    <w:p>
      <w:pPr>
        <w:pBdr/>
        <w:spacing/>
        <w:ind/>
        <w:jc w:val="both"/>
        <w:rPr>
          <w:rFonts w:ascii="Arial" w:hAnsi="Arial" w:cs="Arial"/>
          <w:b/>
          <w:bCs/>
        </w:rPr>
      </w:pPr>
      <w:r>
        <w:rPr>
          <w:rFonts w:ascii="Arial" w:hAnsi="Arial" w:cs="Arial"/>
          <w:b/>
          <w:bCs/>
        </w:rPr>
      </w:r>
      <w:r>
        <w:rPr>
          <w:rFonts w:ascii="Arial" w:hAnsi="Arial" w:cs="Arial"/>
          <w:b/>
          <w:bCs/>
        </w:rPr>
      </w:r>
    </w:p>
    <w:p>
      <w:pPr>
        <w:pBdr/>
        <w:spacing/>
        <w:ind/>
        <w:jc w:val="both"/>
        <w:rPr>
          <w:rFonts w:ascii="Arial" w:hAnsi="Arial" w:eastAsia="Arial" w:cs="Arial"/>
          <w:b/>
          <w:bCs/>
        </w:rPr>
      </w:pPr>
      <w:r>
        <w:rPr>
          <w:rFonts w:ascii="Arial" w:hAnsi="Arial" w:eastAsia="Arial" w:cs="Arial"/>
          <w:b/>
          <w:bCs/>
        </w:rPr>
        <w:t xml:space="preserve">Entidades adheridas</w:t>
      </w:r>
      <w:r>
        <w:rPr>
          <w:rFonts w:ascii="Arial" w:hAnsi="Arial" w:eastAsia="Arial" w:cs="Arial"/>
          <w:b/>
          <w:bCs/>
        </w:rPr>
      </w:r>
    </w:p>
    <w:p>
      <w:pPr>
        <w:pBdr/>
        <w:spacing/>
        <w:ind/>
        <w:jc w:val="both"/>
        <w:rPr>
          <w:rFonts w:ascii="Arial" w:hAnsi="Arial" w:eastAsia="Arial" w:cs="Arial"/>
          <w:color w:val="000000"/>
          <w:highlight w:val="white"/>
        </w:rPr>
      </w:pPr>
      <w:r>
        <w:rPr>
          <w:rFonts w:ascii="Arial" w:hAnsi="Arial" w:eastAsia="Arial" w:cs="Arial"/>
          <w:color w:val="000000"/>
          <w:highlight w:val="white"/>
        </w:rPr>
        <w:t xml:space="preserve">Ágora</w:t>
      </w:r>
      <w:r>
        <w:rPr>
          <w:rFonts w:ascii="Arial" w:hAnsi="Arial" w:eastAsia="Arial" w:cs="Arial"/>
          <w:color w:val="000000"/>
          <w:highlight w:val="white"/>
        </w:rPr>
        <w:t xml:space="preserve"> Canarias; Andamios Burton; Applus Norcontrol, S.L.U.; Asociación de Amas de Casa, Consumidores y Usuarios Pórtico (Navalmoral); Asociación de empresarios del metal de Extremadura (ASPREMETAL); Asociación de Fibromialgia; Asociación de Mujeres de Peraleda </w:t>
      </w:r>
      <w:r>
        <w:rPr>
          <w:rFonts w:ascii="Arial" w:hAnsi="Arial" w:eastAsia="Arial" w:cs="Arial"/>
          <w:color w:val="000000"/>
          <w:highlight w:val="white"/>
        </w:rPr>
        <w:t xml:space="preserve">de la Mata; Asociación de Mujeres El Encuentro de Almaraz</w:t>
      </w:r>
      <w:r>
        <w:rPr>
          <w:rFonts w:ascii="Arial" w:hAnsi="Arial" w:eastAsia="Arial" w:cs="Arial"/>
          <w:color w:val="000000"/>
        </w:rPr>
        <w:t xml:space="preserve">; Asociación de Mujeres Rurales de Serrejón; </w:t>
      </w:r>
      <w:r>
        <w:rPr>
          <w:rFonts w:ascii="Arial" w:hAnsi="Arial" w:eastAsia="Arial" w:cs="Arial"/>
          <w:color w:val="000000"/>
          <w:highlight w:val="white"/>
        </w:rPr>
        <w:t xml:space="preserve">Asociación de Mujeres San Bernardo; Asociación de Municipios en Áreas de Centrales Nuclea</w:t>
      </w:r>
      <w:r>
        <w:rPr>
          <w:rFonts w:ascii="Arial" w:hAnsi="Arial" w:eastAsia="Arial" w:cs="Arial"/>
          <w:color w:val="000000"/>
          <w:highlight w:val="white"/>
        </w:rPr>
        <w:t xml:space="preserve">res (AMAC); Asociación del Polígono Industrial Las Capellanías (APILCA); Asociación para el Desarrollo Integral de la Comarca de la Vera; Asociación para el desarrollo de la comarca de Campo Arañuelo (ARJABOR); Asociación para el Desarrollo de las Vegas Al</w:t>
      </w:r>
      <w:r>
        <w:rPr>
          <w:rFonts w:ascii="Arial" w:hAnsi="Arial" w:eastAsia="Arial" w:cs="Arial"/>
          <w:color w:val="000000"/>
          <w:highlight w:val="white"/>
        </w:rPr>
        <w:t xml:space="preserve">tas del Guadiana; Asociación Nuclear Ascó Valdellós II (ANAV); Asociación para la transición energética; Asociación Profesional de Licencias de Operación (APLO); Asociación Río Tiétar; Autonaval Mantenimientos; Ayuntamiento de Aceuchal; Ayuntamiento de Ald</w:t>
      </w:r>
      <w:r>
        <w:rPr>
          <w:rFonts w:ascii="Arial" w:hAnsi="Arial" w:eastAsia="Arial" w:cs="Arial"/>
          <w:color w:val="000000"/>
          <w:highlight w:val="white"/>
        </w:rPr>
        <w:t xml:space="preserve">eacentenera; Ayuntamiento de Almaraz; Ayuntamiento de Belvís de Monroy/Casas de Belvís; Ayuntamiento de Berrocalejo; Ayuntamiento de Bohonal de Ibor; Ayuntamiento de Casar de Cáceres; Ayuntamiento de Casatejada; Ayuntamiento de Casas de Miravete; Ayuntamie</w:t>
      </w:r>
      <w:r>
        <w:rPr>
          <w:rFonts w:ascii="Arial" w:hAnsi="Arial" w:eastAsia="Arial" w:cs="Arial"/>
          <w:color w:val="000000"/>
          <w:highlight w:val="white"/>
        </w:rPr>
        <w:t xml:space="preserve">nto de El Gordo; Ayuntamiento de Fuente de Cantos; Ayuntamiento de Higuera; Ayuntamiento de Jaraicejo; Ayuntamiento de Jaraíz de la Vera; Ayuntamiento de Majadas de Tiétar; Ayuntamiento de Losar de la Vega; Ayuntamiento de Mesas de Ibor; Ayuntamiento de Mi</w:t>
      </w:r>
      <w:r>
        <w:rPr>
          <w:rFonts w:ascii="Arial" w:hAnsi="Arial" w:eastAsia="Arial" w:cs="Arial"/>
          <w:color w:val="000000"/>
          <w:highlight w:val="white"/>
        </w:rPr>
        <w:t xml:space="preserve">llanes; Ayuntamiento de Navalmoral de la Mata; Ayuntamiento de Peraleda de la Mata; Ayuntamiento de Pueblonuevo de Miramontes; Ayuntamiento de Romangordo; Ayuntamiento de Rosalejo; Ayuntamiento de Saucedilla; Ayuntamiento de Serrejón; Ayuntamiento de Talay</w:t>
      </w:r>
      <w:r>
        <w:rPr>
          <w:rFonts w:ascii="Arial" w:hAnsi="Arial" w:eastAsia="Arial" w:cs="Arial"/>
          <w:color w:val="000000"/>
          <w:highlight w:val="white"/>
        </w:rPr>
        <w:t xml:space="preserve">uela; Ayuntamiento de Tiétar; Ayuntamiento de Toril; Ayuntamiento de Valdecañas del Tajo; Ayuntamiento de Valdehúncar; Cámara Oficial de Comercio, Industria y Servicios de la provincia de Cáceres; Centro de Desarrollo Rural Campiña Sur; Centro de Estudios </w:t>
      </w:r>
      <w:r>
        <w:rPr>
          <w:rFonts w:ascii="Arial" w:hAnsi="Arial" w:eastAsia="Arial" w:cs="Arial"/>
          <w:color w:val="000000"/>
          <w:highlight w:val="white"/>
        </w:rPr>
        <w:t xml:space="preserve">de Ciencias de Navalmoral de la Mata; Centro de Investigaciones Científicas y Tecnológicas de Extremadura; Círculo empresarial Moralo; Clúster de la Energía de Extremadura; COAPSA; Colegio Oficial de Ingenieros Industriales de Extremadura; Corporación empr</w:t>
      </w:r>
      <w:r>
        <w:rPr>
          <w:rFonts w:ascii="Arial" w:hAnsi="Arial" w:eastAsia="Arial" w:cs="Arial"/>
          <w:color w:val="000000"/>
          <w:highlight w:val="white"/>
        </w:rPr>
        <w:t xml:space="preserve">esarial de Extremadura; Confederación Empresarial de Madrid (CEIM); Confederación Independiente de Empresarios y Autónomos de Badajoz; Confederación Regional Empresarial Extremeña (CREEX); EAG (Empresarios Agrupados - Ghesa); ECOSISTEMA44; EMALU; Exacloud;</w:t>
      </w:r>
      <w:r>
        <w:rPr>
          <w:rFonts w:ascii="Arial" w:hAnsi="Arial" w:eastAsia="Arial" w:cs="Arial"/>
          <w:color w:val="000000"/>
          <w:highlight w:val="white"/>
        </w:rPr>
        <w:t xml:space="preserve"> FEAFES Navalmoral; Federación Empresarial Cacereña; Federación Empresarial Talaverana; Federación empresarial Toledana; Federación española de asociaciones profesionales de personal con licencia de operación de centrales nucleares; Framatome; Grupo Doming</w:t>
      </w:r>
      <w:r>
        <w:rPr>
          <w:rFonts w:ascii="Arial" w:hAnsi="Arial" w:eastAsia="Arial" w:cs="Arial"/>
          <w:color w:val="000000"/>
          <w:highlight w:val="white"/>
        </w:rPr>
        <w:t xml:space="preserve">uis Energy Services (GDES); Grupo EULEN; Grupo SECOEX-GES HOLDING; Hermandad de Donantes de Sangre «Campo Arañuelo»; Ilustre Colegio Oficial de Farmacéuticos de Badajoz; Instituto de Sostenibilidad y Eficiencia Energética; INTERLUN S.L.; Jóvenes nucleares;</w:t>
      </w:r>
      <w:r>
        <w:rPr>
          <w:rFonts w:ascii="Arial" w:hAnsi="Arial" w:eastAsia="Arial" w:cs="Arial"/>
          <w:color w:val="000000"/>
          <w:highlight w:val="white"/>
        </w:rPr>
        <w:t xml:space="preserve"> McSwell; PeVeCeKa S.L.; Real Academia de Jurisprudencia y Legislación de Extremadura; Red Española de Desarrollo Rural; Red Mercantil de Extremadura; Secoex Renewable Energies O&amp;M S.L.; Sindicato Independiente de la Energía (SIE); Sindicato Independiente </w:t>
      </w:r>
      <w:r>
        <w:rPr>
          <w:rFonts w:ascii="Arial" w:hAnsi="Arial" w:eastAsia="Arial" w:cs="Arial"/>
          <w:color w:val="000000"/>
          <w:highlight w:val="white"/>
        </w:rPr>
        <w:t xml:space="preserve">Nuclear; Sindicato Independiente de Técnicos y Profesionales de las Centrales Nucleares de Almaraz-Trillo (S.I.T.A.T.); Sociedad Nuclear Española (SNE); TAMOIN S. L.U.; Técnicas Reunidas; Unión Sindical Obrera (USO); Voces Libres y Women in Nuclear (WiN). </w:t>
      </w:r>
      <w:r>
        <w:rPr>
          <w:rFonts w:ascii="Arial" w:hAnsi="Arial" w:eastAsia="Arial" w:cs="Arial"/>
          <w:color w:val="000000"/>
          <w:highlight w:val="white"/>
        </w:rPr>
      </w:r>
    </w:p>
    <w:p>
      <w:pPr>
        <w:pBdr>
          <w:top w:val="none" w:color="000000" w:sz="4" w:space="0"/>
          <w:left w:val="none" w:color="000000" w:sz="4" w:space="0"/>
          <w:bottom w:val="none" w:color="000000" w:sz="4" w:space="0"/>
          <w:right w:val="none" w:color="000000" w:sz="4" w:space="0"/>
        </w:pBdr>
        <w:spacing/>
        <w:ind/>
        <w:jc w:val="both"/>
        <w:rPr>
          <w:rFonts w:ascii="Arial" w:hAnsi="Arial" w:eastAsia="Arial" w:cs="Arial"/>
          <w:color w:val="000000"/>
          <w:highlight w:val="white"/>
        </w:rPr>
      </w:pPr>
      <w:r>
        <w:rPr>
          <w:rFonts w:ascii="Arial" w:hAnsi="Arial" w:eastAsia="Arial" w:cs="Arial"/>
          <w:color w:val="000000"/>
          <w:highlight w:val="white"/>
        </w:rPr>
      </w:r>
      <w:r>
        <w:rPr>
          <w:rFonts w:ascii="Arial" w:hAnsi="Arial" w:eastAsia="Arial" w:cs="Arial"/>
          <w:color w:val="000000"/>
          <w:highlight w:val="white"/>
        </w:rPr>
      </w:r>
    </w:p>
    <w:p>
      <w:pPr>
        <w:pBdr/>
        <w:spacing/>
        <w:ind/>
        <w:jc w:val="both"/>
        <w:rPr>
          <w:rFonts w:ascii="Arial" w:hAnsi="Arial" w:eastAsia="Arial" w:cs="Arial"/>
          <w:color w:val="000000"/>
          <w:highlight w:val="white"/>
        </w:rPr>
      </w:pPr>
      <w:r>
        <w:rPr>
          <w:rFonts w:ascii="Arial" w:hAnsi="Arial" w:eastAsia="Arial" w:cs="Arial"/>
          <w:color w:val="000000"/>
          <w:highlight w:val="white"/>
        </w:rPr>
      </w:r>
      <w:r>
        <w:rPr>
          <w:rFonts w:ascii="Arial" w:hAnsi="Arial" w:eastAsia="Arial" w:cs="Arial"/>
          <w:color w:val="000000"/>
          <w:highlight w:val="white"/>
        </w:rPr>
      </w:r>
    </w:p>
    <w:sectPr>
      <w:headerReference w:type="default" r:id="rId9"/>
      <w:footerReference w:type="default" r:id="rId10"/>
      <w:footerReference w:type="even" r:id="rId11"/>
      <w:footerReference w:type="first" r:id="rId12"/>
      <w:footnotePr/>
      <w:endnotePr/>
      <w:type w:val="nextPage"/>
      <w:pgSz w:h="16838" w:orient="portrait" w:w="11906"/>
      <w:pgMar w:top="1134" w:right="850" w:bottom="567" w:left="1701" w:header="709" w:footer="0"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font>
  <w:font w:name="Calibri">
    <w:panose1 w:val="020F0502020204030204"/>
  </w:font>
  <w:font w:name="American Typewriter">
    <w:panose1 w:val="05040102010807070707"/>
  </w:font>
  <w:font w:name="Symbol">
    <w:panose1 w:val="05050102010706020507"/>
  </w:font>
  <w:font w:name="Courier New">
    <w:panose1 w:val="02070309020205020404"/>
  </w:font>
  <w:font w:name="Wingdings">
    <w:panose1 w:val="05000000000000000000"/>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6"/>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251660288" behindDoc="0" locked="0" layoutInCell="1" allowOverlap="1">
              <wp:simplePos x="84" y="709"/>
              <wp:positionH relativeFrom="page">
                <wp:align>right</wp:align>
              </wp:positionH>
              <wp:positionV relativeFrom="page">
                <wp:align>bottom</wp:align>
              </wp:positionV>
              <wp:extent cx="1995170" cy="368935"/>
              <wp:effectExtent l="0" t="0" r="0" b="0"/>
              <wp:wrapNone/>
              <wp:docPr id="2" name="Cuadro de texto 3" descr="INFORMACIÓN CONFIDENCIAL"/>
              <wp:cNvGraphicFramePr/>
              <a:graphic xmlns:a="http://schemas.openxmlformats.org/drawingml/2006/main">
                <a:graphicData uri="http://schemas.microsoft.com/office/word/2010/wordprocessingShape">
                  <wps:wsp>
                    <wps:cNvPr id="0" name=""/>
                    <wps:cNvSpPr txBox="1"/>
                    <wps:spPr bwMode="auto">
                      <a:xfrm>
                        <a:off x="0" y="0"/>
                        <a:ext cx="1995170" cy="368935"/>
                      </a:xfrm>
                      <a:prstGeom prst="rect">
                        <a:avLst/>
                      </a:prstGeom>
                      <a:noFill/>
                      <a:ln>
                        <a:noFill/>
                      </a:ln>
                    </wps:spPr>
                    <wps:txbx>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wps:txbx>
                    <wps:bodyPr rot="0" spcFirstLastPara="0" vertOverflow="overflow" horzOverflow="overflow" vert="horz" wrap="none" lIns="0" tIns="0" rIns="254000" bIns="190500" numCol="1" spcCol="0" rtlCol="0" fromWordArt="0" anchor="b" anchorCtr="0" forceAA="0" compatLnSpc="1">
                      <a:prstTxWarp prst="textNoShape"/>
                      <a:spAutoFit/>
                    </wps:bodyPr>
                  </wps:wsp>
                </a:graphicData>
              </a:graphic>
            </wp:anchor>
          </w:drawing>
        </mc:Choice>
        <mc:Fallback>
          <w:pict>
            <v:shape id="shape 1" o:spid="_x0000_s1" o:spt="202" type="#_x0000_t202" style="position:absolute;z-index:251660288;o:allowoverlap:true;o:allowincell:true;mso-position-horizontal-relative:page;mso-position-horizontal:right;mso-position-vertical-relative:page;mso-position-vertical:bottom;width:157.10pt;height:29.05pt;mso-wrap-distance-left:0.00pt;mso-wrap-distance-top:0.00pt;mso-wrap-distance-right:0.00pt;mso-wrap-distance-bottom:0.00pt;v-text-anchor:bottom;visibility:visible;" filled="f" stroked="f">
              <v:textbox inset="0,0,0,0">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v:textbox>
            </v:shape>
          </w:pict>
        </mc:Fallback>
      </mc:AlternateContent>
    </w:r>
    <w:r/>
  </w:p>
  <w:tbl>
    <w:tblPr>
      <w:tblStyle w:val="1064"/>
      <w:tblInd w:w="-1701" w:type="dxa"/>
      <w:tblW w:w="0" w:type="auto"/>
      <w:tblBorders/>
      <w:tblLayout w:type="fixed"/>
      <w:tblLook w:val="04A0" w:firstRow="1" w:lastRow="0" w:firstColumn="1" w:lastColumn="0" w:noHBand="0" w:noVBand="1"/>
    </w:tblPr>
    <w:tblGrid>
      <w:gridCol w:w="6412"/>
      <w:gridCol w:w="5556"/>
    </w:tblGrid>
    <w:tr>
      <w:trPr>
        <w:trHeight w:val="1803"/>
      </w:trPr>
      <w:tc>
        <w:tcPr>
          <w:tcBorders>
            <w:top w:val="none" w:color="000000" w:sz="4" w:space="0"/>
            <w:left w:val="none" w:color="000000" w:sz="4" w:space="0"/>
            <w:bottom w:val="none" w:color="000000" w:sz="4" w:space="0"/>
            <w:right w:val="none" w:color="000000" w:sz="4" w:space="0"/>
          </w:tcBorders>
          <w:tcW w:w="6412" w:type="dxa"/>
          <w:textDirection w:val="lrTb"/>
          <w:noWrap w:val="false"/>
        </w:tcPr>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b/>
              <w:bCs/>
              <w:sz w:val="18"/>
              <w:szCs w:val="18"/>
            </w:rPr>
            <w:t xml:space="preserve">Plataforma ‘Sí a Almaraz, Sí al futuro”</w:t>
          </w:r>
          <w:r>
            <w:rPr>
              <w:sz w:val="18"/>
              <w:szCs w:val="18"/>
            </w:rPr>
            <w:t xml:space="preserve"> </w:t>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lang w:val="en-US"/>
            </w:rPr>
          </w:pPr>
          <w:r>
            <w:rPr>
              <w:sz w:val="18"/>
              <w:szCs w:val="18"/>
              <w:lang w:val="en-US"/>
            </w:rPr>
            <w:t xml:space="preserve">Web: </w:t>
          </w:r>
          <w:r>
            <w:fldChar w:fldCharType="begin"/>
          </w:r>
          <w:r>
            <w:rPr>
              <w:lang w:val="en-US"/>
            </w:rPr>
            <w:instrText xml:space="preserve">HYPERLINK "http://www.sialmaraz.es" \o "http://www.sialmaraz.es"</w:instrText>
          </w:r>
          <w:r>
            <w:fldChar w:fldCharType="separate"/>
          </w:r>
          <w:r>
            <w:rPr>
              <w:rStyle w:val="1225"/>
              <w:sz w:val="18"/>
              <w:szCs w:val="18"/>
              <w:lang w:val="en-US"/>
            </w:rPr>
            <w:t xml:space="preserve">www.sialmaraz.es</w:t>
          </w:r>
          <w:r>
            <w:fldChar w:fldCharType="end"/>
          </w:r>
          <w:r>
            <w:rPr>
              <w:sz w:val="18"/>
              <w:szCs w:val="18"/>
              <w:lang w:val="en-US"/>
            </w:rPr>
            <w:t xml:space="preserve"> </w:t>
          </w:r>
          <w:r>
            <w:rPr>
              <w:sz w:val="18"/>
              <w:szCs w:val="18"/>
              <w:lang w:val="en-US"/>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lang w:val="en-US"/>
            </w:rPr>
          </w:pPr>
          <w:r>
            <w:rPr>
              <w:sz w:val="18"/>
              <w:szCs w:val="18"/>
              <w:lang w:val="en-US"/>
            </w:rPr>
            <w:t xml:space="preserve">Instagram: </w:t>
          </w:r>
          <w:r>
            <w:fldChar w:fldCharType="begin"/>
          </w:r>
          <w:r>
            <w:rPr>
              <w:lang w:val="en-US"/>
            </w:rPr>
            <w:instrText xml:space="preserve">HYPERLINK "https://www.instagram.com/sialmaraz/" \o "https://www.instagram.com/sialmaraz/"</w:instrText>
          </w:r>
          <w:r>
            <w:fldChar w:fldCharType="separate"/>
          </w:r>
          <w:r>
            <w:rPr>
              <w:rStyle w:val="1225"/>
              <w:sz w:val="18"/>
              <w:szCs w:val="18"/>
              <w:lang w:val="en-US"/>
            </w:rPr>
            <w:t xml:space="preserve">@sialmaraz</w:t>
          </w:r>
          <w:r>
            <w:fldChar w:fldCharType="end"/>
          </w:r>
          <w:r>
            <w:rPr>
              <w:sz w:val="18"/>
              <w:szCs w:val="18"/>
              <w:lang w:val="en-US"/>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t xml:space="preserve">Facebook: </w:t>
          </w:r>
          <w:hyperlink r:id="rId1" w:tooltip="https://www.facebook.com/sialmarazfuturo" w:history="1">
            <w:r>
              <w:rPr>
                <w:rStyle w:val="1225"/>
                <w:sz w:val="18"/>
                <w:szCs w:val="18"/>
              </w:rPr>
              <w:t xml:space="preserve">sialmarazfuturo</w:t>
            </w:r>
          </w:hyperlink>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t xml:space="preserve">TikTok: </w:t>
          </w:r>
          <w:hyperlink r:id="rId2" w:tooltip="https://www.tiktok.com/@sialmaraz" w:history="1">
            <w:r>
              <w:rPr>
                <w:rStyle w:val="1225"/>
                <w:sz w:val="18"/>
                <w:szCs w:val="18"/>
              </w:rPr>
              <w:t xml:space="preserve">@sialmaraz</w:t>
            </w:r>
          </w:hyperlink>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t xml:space="preserve">X: </w:t>
          </w:r>
          <w:hyperlink r:id="rId3" w:tooltip="https://x.com/SiAlmaraz" w:history="1">
            <w:r>
              <w:rPr>
                <w:rStyle w:val="1225"/>
                <w:sz w:val="18"/>
                <w:szCs w:val="18"/>
              </w:rPr>
              <w:t xml:space="preserve">@SiAlmaraz</w:t>
            </w:r>
          </w:hyperlink>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t xml:space="preserve">LinkedIn: </w:t>
          </w:r>
          <w:hyperlink r:id="rId4" w:tooltip="https://www.linkedin.com/company/sialmaraz/" w:history="1">
            <w:r>
              <w:rPr>
                <w:rStyle w:val="1225"/>
                <w:sz w:val="18"/>
                <w:szCs w:val="18"/>
              </w:rPr>
              <w:t xml:space="preserve">SiAlmaraz</w:t>
            </w:r>
          </w:hyperlink>
          <w:r/>
          <w:r>
            <w:rPr>
              <w:sz w:val="18"/>
              <w:szCs w:val="18"/>
            </w:rPr>
          </w:r>
        </w:p>
      </w:tc>
      <w:tc>
        <w:tcPr>
          <w:tcBorders>
            <w:top w:val="none" w:color="000000" w:sz="4" w:space="0"/>
            <w:left w:val="none" w:color="000000" w:sz="4" w:space="0"/>
            <w:bottom w:val="none" w:color="000000" w:sz="4" w:space="0"/>
            <w:right w:val="none" w:color="000000" w:sz="4" w:space="0"/>
          </w:tcBorders>
          <w:tcW w:w="5556" w:type="dxa"/>
          <w:textDirection w:val="lrTb"/>
          <w:noWrap w:val="false"/>
        </w:tcPr>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b/>
              <w:bCs/>
              <w:sz w:val="18"/>
              <w:szCs w:val="18"/>
            </w:rPr>
          </w:pPr>
          <w:r>
            <w:rPr>
              <w:b/>
              <w:bCs/>
              <w:sz w:val="18"/>
              <w:szCs w:val="18"/>
            </w:rPr>
          </w:r>
          <w:r>
            <w:rPr>
              <w:b/>
              <w:bCs/>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b/>
              <w:bCs/>
              <w:sz w:val="18"/>
              <w:szCs w:val="18"/>
            </w:rPr>
            <w:t xml:space="preserve">Contacto de prensa</w:t>
          </w:r>
          <w:r>
            <w:rPr>
              <w:sz w:val="18"/>
              <w:szCs w:val="18"/>
            </w:rPr>
            <w:t xml:space="preserve"> </w:t>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rPr>
              <w:sz w:val="18"/>
              <w:szCs w:val="18"/>
            </w:rPr>
            <w:t xml:space="preserve">Eva Mateo</w:t>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sz w:val="18"/>
              <w:szCs w:val="18"/>
            </w:rPr>
          </w:pPr>
          <w:r/>
          <w:hyperlink r:id="rId5" w:tooltip="http://prensa@sialmaraz.es" w:history="1">
            <w:r>
              <w:rPr>
                <w:rStyle w:val="1225"/>
                <w:sz w:val="18"/>
                <w:szCs w:val="18"/>
              </w:rPr>
              <w:t xml:space="preserve">prensa@sialmaraz.es</w:t>
            </w:r>
          </w:hyperlink>
          <w:r/>
          <w:r>
            <w:rPr>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color w:val="000000" w:themeColor="text1"/>
              <w:sz w:val="18"/>
              <w:szCs w:val="18"/>
            </w:rPr>
          </w:pPr>
          <w:r>
            <w:rPr>
              <w:color w:val="000000" w:themeColor="text1"/>
              <w:sz w:val="18"/>
              <w:szCs w:val="18"/>
            </w:rPr>
            <w:t xml:space="preserve">699 33 51 06</w:t>
          </w:r>
          <w:r>
            <w:rPr>
              <w:color w:val="000000" w:themeColor="text1"/>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jc w:val="center"/>
            <w:rPr>
              <w:color w:val="ff0000"/>
              <w:sz w:val="18"/>
              <w:szCs w:val="18"/>
            </w:rPr>
          </w:pPr>
          <w:r>
            <w:rPr>
              <w:color w:val="ff0000"/>
              <w:sz w:val="18"/>
              <w:szCs w:val="18"/>
            </w:rPr>
          </w:r>
          <w:r>
            <w:rPr>
              <w:color w:val="ff0000"/>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rPr>
              <w:color w:val="ff0000"/>
              <w:sz w:val="18"/>
              <w:szCs w:val="18"/>
            </w:rPr>
          </w:pPr>
          <w:r>
            <w:rPr>
              <w:color w:val="ff0000"/>
              <w:sz w:val="18"/>
              <w:szCs w:val="18"/>
            </w:rPr>
          </w:r>
          <w:r>
            <w:rPr>
              <w:color w:val="ff0000"/>
              <w:sz w:val="18"/>
              <w:szCs w:val="18"/>
            </w:rPr>
          </w:r>
        </w:p>
        <w:p>
          <w:pPr>
            <w:pBdr>
              <w:top w:val="none" w:color="000000" w:sz="4" w:space="0"/>
              <w:left w:val="none" w:color="000000" w:sz="4" w:space="0"/>
              <w:bottom w:val="none" w:color="000000" w:sz="4" w:space="0"/>
              <w:right w:val="none" w:color="000000" w:sz="4" w:space="0"/>
              <w:between w:val="none" w:color="000000" w:sz="4" w:space="0"/>
            </w:pBdr>
            <w:shd w:val="clear" w:color="e7e6e6" w:themeColor="background2" w:fill="e7e6e6" w:themeFill="background2"/>
            <w:spacing w:after="57"/>
            <w:ind/>
            <w:rPr>
              <w:color w:val="ff0000"/>
              <w:sz w:val="18"/>
              <w:szCs w:val="18"/>
            </w:rPr>
          </w:pPr>
          <w:r>
            <w:rPr>
              <w:color w:val="ff0000"/>
              <w:sz w:val="18"/>
              <w:szCs w:val="18"/>
            </w:rPr>
          </w:r>
          <w:r>
            <w:rPr>
              <w:color w:val="ff0000"/>
              <w:sz w:val="18"/>
              <w:szCs w:val="18"/>
            </w:rPr>
          </w:r>
        </w:p>
      </w:tc>
    </w:tr>
  </w:tbl>
  <w:p>
    <w:pPr>
      <w:pBdr/>
      <w:spacing w:after="0"/>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6"/>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251659264" behindDoc="0" locked="0" layoutInCell="1" allowOverlap="1">
              <wp:simplePos x="0" y="0"/>
              <wp:positionH relativeFrom="page">
                <wp:align>right</wp:align>
              </wp:positionH>
              <wp:positionV relativeFrom="page">
                <wp:align>bottom</wp:align>
              </wp:positionV>
              <wp:extent cx="1995170" cy="368935"/>
              <wp:effectExtent l="0" t="0" r="0" b="0"/>
              <wp:wrapNone/>
              <wp:docPr id="3" name="Cuadro de texto 2" descr="INFORMACIÓN CONFIDENCIAL"/>
              <wp:cNvGraphicFramePr/>
              <a:graphic xmlns:a="http://schemas.openxmlformats.org/drawingml/2006/main">
                <a:graphicData uri="http://schemas.microsoft.com/office/word/2010/wordprocessingShape">
                  <wps:wsp>
                    <wps:cNvPr id="0" name=""/>
                    <wps:cNvSpPr txBox="1"/>
                    <wps:spPr bwMode="auto">
                      <a:xfrm>
                        <a:off x="0" y="0"/>
                        <a:ext cx="1995170" cy="368935"/>
                      </a:xfrm>
                      <a:prstGeom prst="rect">
                        <a:avLst/>
                      </a:prstGeom>
                      <a:noFill/>
                      <a:ln>
                        <a:noFill/>
                      </a:ln>
                    </wps:spPr>
                    <wps:txbx>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wps:txbx>
                    <wps:bodyPr rot="0" spcFirstLastPara="0" vertOverflow="overflow" horzOverflow="overflow" vert="horz" wrap="none" lIns="0" tIns="0" rIns="254000" bIns="190500" numCol="1" spcCol="0" rtlCol="0" fromWordArt="0" anchor="b" anchorCtr="0" forceAA="0" compatLnSpc="1">
                      <a:prstTxWarp prst="textNoShape"/>
                      <a:spAutoFit/>
                    </wps:bodyPr>
                  </wps:wsp>
                </a:graphicData>
              </a:graphic>
            </wp:anchor>
          </w:drawing>
        </mc:Choice>
        <mc:Fallback>
          <w:pict>
            <v:shape id="shape 2" o:spid="_x0000_s2" o:spt="202" type="#_x0000_t202" style="position:absolute;z-index:251659264;o:allowoverlap:true;o:allowincell:true;mso-position-horizontal-relative:page;mso-position-horizontal:right;mso-position-vertical-relative:page;mso-position-vertical:bottom;width:157.10pt;height:29.05pt;mso-wrap-distance-left:0.00pt;mso-wrap-distance-top:0.00pt;mso-wrap-distance-right:0.00pt;mso-wrap-distance-bottom:0.00pt;v-text-anchor:bottom;visibility:visible;" filled="f" stroked="f">
              <v:textbox inset="0,0,0,0">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6"/>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page">
                <wp:align>right</wp:align>
              </wp:positionH>
              <wp:positionV relativeFrom="page">
                <wp:align>bottom</wp:align>
              </wp:positionV>
              <wp:extent cx="1995170" cy="368935"/>
              <wp:effectExtent l="0" t="0" r="0" b="0"/>
              <wp:wrapNone/>
              <wp:docPr id="4" name="Cuadro de texto 1" descr="INFORMACIÓN CONFIDENCIAL"/>
              <wp:cNvGraphicFramePr/>
              <a:graphic xmlns:a="http://schemas.openxmlformats.org/drawingml/2006/main">
                <a:graphicData uri="http://schemas.microsoft.com/office/word/2010/wordprocessingShape">
                  <wps:wsp>
                    <wps:cNvPr id="0" name=""/>
                    <wps:cNvSpPr txBox="1"/>
                    <wps:spPr bwMode="auto">
                      <a:xfrm>
                        <a:off x="0" y="0"/>
                        <a:ext cx="1995170" cy="368935"/>
                      </a:xfrm>
                      <a:prstGeom prst="rect">
                        <a:avLst/>
                      </a:prstGeom>
                      <a:noFill/>
                      <a:ln>
                        <a:noFill/>
                      </a:ln>
                    </wps:spPr>
                    <wps:txbx>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wps:txbx>
                    <wps:bodyPr rot="0" spcFirstLastPara="0" vertOverflow="overflow" horzOverflow="overflow" vert="horz" wrap="none" lIns="0" tIns="0" rIns="254000" bIns="190500" numCol="1" spcCol="0" rtlCol="0" fromWordArt="0" anchor="b" anchorCtr="0" forceAA="0" compatLnSpc="1">
                      <a:prstTxWarp prst="textNoShape"/>
                      <a:spAutoFit/>
                    </wps:bodyPr>
                  </wps:wsp>
                </a:graphicData>
              </a:graphic>
            </wp:anchor>
          </w:drawing>
        </mc:Choice>
        <mc:Fallback>
          <w:pict>
            <v:shape id="shape 3" o:spid="_x0000_s3" o:spt="202" type="#_x0000_t202" style="position:absolute;z-index:251658240;o:allowoverlap:true;o:allowincell:true;mso-position-horizontal-relative:page;mso-position-horizontal:right;mso-position-vertical-relative:page;mso-position-vertical:bottom;width:157.10pt;height:29.05pt;mso-wrap-distance-left:0.00pt;mso-wrap-distance-top:0.00pt;mso-wrap-distance-right:0.00pt;mso-wrap-distance-bottom:0.00pt;v-text-anchor:bottom;visibility:visible;" filled="f" stroked="f">
              <v:textbox inset="0,0,0,0">
                <w:txbxContent>
                  <w:p>
                    <w:pPr>
                      <w:pBdr/>
                      <w:spacing w:after="0"/>
                      <w:ind/>
                      <w:rPr>
                        <w:rFonts w:ascii="Aptos" w:hAnsi="Aptos" w:eastAsia="Aptos" w:cs="Aptos"/>
                        <w:color w:val="000000"/>
                        <w:sz w:val="20"/>
                        <w:szCs w:val="20"/>
                      </w:rPr>
                    </w:pPr>
                    <w:r>
                      <w:rPr>
                        <w:rFonts w:ascii="Aptos" w:hAnsi="Aptos" w:eastAsia="Aptos" w:cs="Aptos"/>
                        <w:color w:val="000000"/>
                        <w:sz w:val="20"/>
                        <w:szCs w:val="20"/>
                      </w:rPr>
                      <w:t xml:space="preserve">INFORMACIÓN CONFIDENCIAL</w:t>
                    </w:r>
                    <w:r>
                      <w:rPr>
                        <w:rFonts w:ascii="Aptos" w:hAnsi="Aptos" w:eastAsia="Aptos" w:cs="Aptos"/>
                        <w:color w:val="000000"/>
                        <w:sz w:val="20"/>
                        <w:szCs w:val="20"/>
                      </w:rPr>
                    </w:r>
                  </w:p>
                </w:txbxContent>
              </v:textbox>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4"/>
      <w:pBdr/>
      <w:spacing/>
      <w:ind/>
      <w:rPr/>
    </w:pPr>
    <w:r>
      <w:rPr>
        <w:lang w:eastAsia="es-ES"/>
      </w:rPr>
      <mc:AlternateContent>
        <mc:Choice Requires="wpg">
          <w:drawing>
            <wp:anchor xmlns:wp="http://schemas.openxmlformats.org/drawingml/2006/wordprocessingDrawing" xmlns:wp14="http://schemas.microsoft.com/office/word/2010/wordprocessingDrawing" distT="0" distB="0" distL="115200" distR="115200" simplePos="0" relativeHeight="3072" behindDoc="0" locked="0" layoutInCell="1" allowOverlap="1">
              <wp:simplePos x="0" y="0"/>
              <wp:positionH relativeFrom="column">
                <wp:posOffset>1706075</wp:posOffset>
              </wp:positionH>
              <wp:positionV relativeFrom="paragraph">
                <wp:posOffset>-149293</wp:posOffset>
              </wp:positionV>
              <wp:extent cx="1987890" cy="735823"/>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33175" name=""/>
                      <pic:cNvPicPr>
                        <a:picLocks noChangeAspect="1"/>
                      </pic:cNvPicPr>
                      <pic:nvPr/>
                    </pic:nvPicPr>
                    <pic:blipFill rotWithShape="1">
                      <a:blip r:embed="rId1"/>
                      <a:stretch/>
                    </pic:blipFill>
                    <pic:spPr bwMode="auto">
                      <a:xfrm>
                        <a:off x="0" y="0"/>
                        <a:ext cx="1987888" cy="735822"/>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3072;o:allowoverlap:true;o:allowincell:true;mso-position-horizontal-relative:text;margin-left:134.34pt;mso-position-horizontal:absolute;mso-position-vertical-relative:text;margin-top:-11.76pt;mso-position-vertical:absolute;width:156.53pt;height:57.94pt;mso-wrap-distance-left:9.07pt;mso-wrap-distance-top:0.00pt;mso-wrap-distance-right:9.07pt;mso-wrap-distance-bottom:0.00pt;z-index:1;" stroked="false">
              <w10:wrap type="square"/>
              <v:imagedata r:id="rId1" o:title=""/>
              <o:lock v:ext="edit" rotation="t"/>
            </v:shape>
          </w:pict>
        </mc:Fallback>
      </mc:AlternateContent>
    </w:r>
    <w:r/>
  </w:p>
  <w:p>
    <w:pPr>
      <w:pStyle w:val="1214"/>
      <w:pBdr/>
      <w:spacing/>
      <w:ind/>
      <w:rPr/>
    </w:pPr>
    <w:r/>
    <w:r/>
  </w:p>
  <w:p>
    <w:pPr>
      <w:pStyle w:val="1214"/>
      <w:pBdr/>
      <w:spacing/>
      <w:ind/>
      <w:rPr/>
    </w:pPr>
    <w:r/>
    <w:r/>
  </w:p>
  <w:p>
    <w:pPr>
      <w:pStyle w:val="1214"/>
      <w:pBdr/>
      <w:spacing/>
      <w:ind/>
      <w:rPr/>
    </w:pPr>
    <w:r/>
    <w:r/>
  </w:p>
  <w:p>
    <w:pPr>
      <w:pStyle w:val="1214"/>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D17B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6355E2"/>
    <w:lvl w:ilvl="0">
      <w:isLgl w:val="false"/>
      <w:lvlJc w:val="left"/>
      <w:lvlText w:val="-"/>
      <w:numFmt w:val="bullet"/>
      <w:pPr>
        <w:pBdr/>
        <w:spacing/>
        <w:ind w:hanging="360" w:left="720"/>
      </w:pPr>
      <w:rPr>
        <w:rFonts w:hint="default" w:ascii="American Typewriter" w:hAnsi="American Typewriter" w:eastAsia="Arial" w:cs="Aria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0AE9357C"/>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
    <w:nsid w:val="0B7D5C78"/>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
    <w:nsid w:val="0CBD5DCF"/>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
    <w:nsid w:val="0EA16EC2"/>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
    <w:nsid w:val="0EDC3D1E"/>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
    <w:nsid w:val="10357FF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
    <w:nsid w:val="11546511"/>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
    <w:nsid w:val="13FDF4B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
    <w:nsid w:val="1933690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1D8B0D1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1E000A6B"/>
    <w:lvl w:ilvl="0">
      <w:isLgl w:val="false"/>
      <w:lvlJc w:val="left"/>
      <w:lvlText w:val="Ø"/>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
    <w:nsid w:val="2E5B08F1"/>
    <w:lvl w:ilvl="0">
      <w:isLgl w:val="false"/>
      <w:lvlJc w:val="left"/>
      <w:lvlText w:val="-"/>
      <w:numFmt w:val="bullet"/>
      <w:pPr>
        <w:pBdr/>
        <w:spacing/>
        <w:ind w:hanging="360" w:left="720"/>
      </w:pPr>
      <w:rPr>
        <w:rFonts w:hint="default" w:ascii="Calibri" w:hAnsi="Calibri" w:cs="Calibri" w:eastAsiaTheme="minorHAnsi"/>
      </w:rPr>
      <w:start w:val="2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2EB919FE"/>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
    <w:nsid w:val="34AD10EA"/>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
    <w:nsid w:val="35344794"/>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
    <w:nsid w:val="370034E9"/>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
    <w:nsid w:val="39C91BE2"/>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
    <w:nsid w:val="3A116FFA"/>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
    <w:nsid w:val="3A424625"/>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
    <w:nsid w:val="3AB7396F"/>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2">
    <w:nsid w:val="3C2F1AB3"/>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
    <w:nsid w:val="425E4D4A"/>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
    <w:nsid w:val="465F671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4AD05B1C"/>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
    <w:nsid w:val="4F7332DC"/>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
    <w:nsid w:val="55AB42B4"/>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
    <w:nsid w:val="563C0219"/>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9">
    <w:nsid w:val="568B47CE"/>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0">
    <w:nsid w:val="5E897BD6"/>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1">
    <w:nsid w:val="5FAA40E7"/>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
    <w:nsid w:val="65AC3C91"/>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
    <w:nsid w:val="678EBBEF"/>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4">
    <w:nsid w:val="6CB77455"/>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
    <w:nsid w:val="6E050ECA"/>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
    <w:nsid w:val="6E783230"/>
    <w:lvl w:ilvl="0">
      <w:isLgl w:val="false"/>
      <w:lvlJc w:val="left"/>
      <w:lvlText w:val="-"/>
      <w:numFmt w:val="bullet"/>
      <w:pPr>
        <w:pBdr/>
        <w:spacing/>
        <w:ind w:hanging="360" w:left="720"/>
      </w:pPr>
      <w:rPr>
        <w:rFonts w:hint="default" w:ascii="Calibri" w:hAnsi="Calibri" w:cs="Calibri" w:eastAsiaTheme="minorHAnsi"/>
      </w:rPr>
      <w:start w:val="2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7">
    <w:nsid w:val="72282E0C"/>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24A4A0C"/>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7C5B0B76"/>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F827EF9"/>
    <w:lvl w:ilvl="0">
      <w:isLgl w:val="false"/>
      <w:lvlJc w:val="left"/>
      <w:lvlText w:val="§"/>
      <w:numFmt w:val="bullet"/>
      <w:pPr>
        <w:pBdr/>
        <w:spacing/>
        <w:ind w:hanging="360" w:left="709"/>
      </w:pPr>
      <w:rPr>
        <w:rFonts w:ascii="Wingdings" w:hAnsi="Wingdings" w:eastAsia="Wingdings" w:cs="Wingdings"/>
        <w:color w:val="000000" w:themeColor="text1"/>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7FF05CD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2">
    <w:nsid w:val="7FFB166C"/>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678EBBEF"/>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4">
    <w:nsid w:val="678EBBEF"/>
    <w:lvl w:ilvl="0">
      <w:isLgl w:val="false"/>
      <w:lvlJc w:val="left"/>
      <w:lvlText w:val="§"/>
      <w:numFmt w:val="bullet"/>
      <w:pPr>
        <w:pBdr/>
        <w:spacing/>
        <w:ind w:hanging="360" w:left="720"/>
      </w:pPr>
      <w:rPr>
        <w:rFonts w:ascii="Wingdings" w:hAnsi="Wingdings" w:eastAsia="Wingdings" w:cs="Wingdings"/>
        <w:color w:val="000000" w:themeColor="text1"/>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5"/>
  </w:num>
  <w:num w:numId="2">
    <w:abstractNumId w:val="37"/>
  </w:num>
  <w:num w:numId="3">
    <w:abstractNumId w:val="13"/>
  </w:num>
  <w:num w:numId="4">
    <w:abstractNumId w:val="6"/>
  </w:num>
  <w:num w:numId="5">
    <w:abstractNumId w:val="31"/>
  </w:num>
  <w:num w:numId="6">
    <w:abstractNumId w:val="25"/>
  </w:num>
  <w:num w:numId="7">
    <w:abstractNumId w:val="20"/>
  </w:num>
  <w:num w:numId="8">
    <w:abstractNumId w:val="17"/>
  </w:num>
  <w:num w:numId="9">
    <w:abstractNumId w:val="14"/>
  </w:num>
  <w:num w:numId="10">
    <w:abstractNumId w:val="8"/>
  </w:num>
  <w:num w:numId="11">
    <w:abstractNumId w:val="23"/>
  </w:num>
  <w:num w:numId="12">
    <w:abstractNumId w:val="40"/>
  </w:num>
  <w:num w:numId="13">
    <w:abstractNumId w:val="19"/>
  </w:num>
  <w:num w:numId="14">
    <w:abstractNumId w:val="30"/>
  </w:num>
  <w:num w:numId="15">
    <w:abstractNumId w:val="11"/>
  </w:num>
  <w:num w:numId="16">
    <w:abstractNumId w:val="32"/>
  </w:num>
  <w:num w:numId="17">
    <w:abstractNumId w:val="21"/>
  </w:num>
  <w:num w:numId="18">
    <w:abstractNumId w:val="42"/>
  </w:num>
  <w:num w:numId="19">
    <w:abstractNumId w:val="7"/>
  </w:num>
  <w:num w:numId="20">
    <w:abstractNumId w:val="18"/>
  </w:num>
  <w:num w:numId="21">
    <w:abstractNumId w:val="26"/>
  </w:num>
  <w:num w:numId="22">
    <w:abstractNumId w:val="0"/>
  </w:num>
  <w:num w:numId="23">
    <w:abstractNumId w:val="28"/>
  </w:num>
  <w:num w:numId="24">
    <w:abstractNumId w:val="29"/>
  </w:num>
  <w:num w:numId="25">
    <w:abstractNumId w:val="4"/>
  </w:num>
  <w:num w:numId="26">
    <w:abstractNumId w:val="5"/>
  </w:num>
  <w:num w:numId="27">
    <w:abstractNumId w:val="2"/>
  </w:num>
  <w:num w:numId="28">
    <w:abstractNumId w:val="41"/>
  </w:num>
  <w:num w:numId="29">
    <w:abstractNumId w:val="24"/>
  </w:num>
  <w:num w:numId="30">
    <w:abstractNumId w:val="10"/>
  </w:num>
  <w:num w:numId="31">
    <w:abstractNumId w:val="36"/>
  </w:num>
  <w:num w:numId="32">
    <w:abstractNumId w:val="38"/>
  </w:num>
  <w:num w:numId="33">
    <w:abstractNumId w:val="35"/>
  </w:num>
  <w:num w:numId="34">
    <w:abstractNumId w:val="1"/>
  </w:num>
  <w:num w:numId="35">
    <w:abstractNumId w:val="3"/>
  </w:num>
  <w:num w:numId="36">
    <w:abstractNumId w:val="27"/>
  </w:num>
  <w:num w:numId="37">
    <w:abstractNumId w:val="16"/>
  </w:num>
  <w:num w:numId="38">
    <w:abstractNumId w:val="22"/>
  </w:num>
  <w:num w:numId="39">
    <w:abstractNumId w:val="12"/>
  </w:num>
  <w:num w:numId="40">
    <w:abstractNumId w:val="34"/>
  </w:num>
  <w:num w:numId="41">
    <w:abstractNumId w:val="39"/>
  </w:num>
  <w:num w:numId="42">
    <w:abstractNumId w:val="9"/>
  </w:num>
  <w:num w:numId="43">
    <w:abstractNumId w:val="33"/>
  </w:num>
  <w:num w:numId="44">
    <w:abstractNumId w:val="33"/>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s-E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24" w:default="1">
    <w:name w:val="Normal"/>
    <w:qFormat/>
    <w:pPr>
      <w:pBdr/>
      <w:spacing/>
      <w:ind/>
    </w:pPr>
  </w:style>
  <w:style w:type="paragraph" w:styleId="1025">
    <w:name w:val="Heading 1"/>
    <w:basedOn w:val="1024"/>
    <w:next w:val="1024"/>
    <w:link w:val="1190"/>
    <w:uiPriority w:val="9"/>
    <w:qFormat/>
    <w:pPr>
      <w:keepNext w:val="true"/>
      <w:keepLines w:val="true"/>
      <w:pBdr/>
      <w:spacing w:after="80" w:before="360"/>
      <w:ind/>
      <w:outlineLvl w:val="0"/>
    </w:pPr>
    <w:rPr>
      <w:rFonts w:ascii="Arial" w:hAnsi="Arial" w:eastAsia="Arial" w:cs="Arial"/>
      <w:color w:val="2e74b5" w:themeColor="accent1" w:themeShade="BF"/>
      <w:sz w:val="40"/>
      <w:szCs w:val="40"/>
    </w:rPr>
  </w:style>
  <w:style w:type="paragraph" w:styleId="1026">
    <w:name w:val="Heading 2"/>
    <w:basedOn w:val="1024"/>
    <w:next w:val="1024"/>
    <w:link w:val="1191"/>
    <w:uiPriority w:val="9"/>
    <w:unhideWhenUsed/>
    <w:qFormat/>
    <w:pPr>
      <w:keepNext w:val="true"/>
      <w:keepLines w:val="true"/>
      <w:pBdr/>
      <w:spacing w:after="80" w:before="160"/>
      <w:ind/>
      <w:outlineLvl w:val="1"/>
    </w:pPr>
    <w:rPr>
      <w:rFonts w:ascii="Arial" w:hAnsi="Arial" w:eastAsia="Arial" w:cs="Arial"/>
      <w:color w:val="2e74b5" w:themeColor="accent1" w:themeShade="BF"/>
      <w:sz w:val="32"/>
      <w:szCs w:val="32"/>
    </w:rPr>
  </w:style>
  <w:style w:type="paragraph" w:styleId="1027">
    <w:name w:val="Heading 3"/>
    <w:basedOn w:val="1024"/>
    <w:next w:val="1024"/>
    <w:link w:val="1192"/>
    <w:uiPriority w:val="9"/>
    <w:unhideWhenUsed/>
    <w:qFormat/>
    <w:pPr>
      <w:keepNext w:val="true"/>
      <w:keepLines w:val="true"/>
      <w:pBdr/>
      <w:spacing w:after="80" w:before="160"/>
      <w:ind/>
      <w:outlineLvl w:val="2"/>
    </w:pPr>
    <w:rPr>
      <w:rFonts w:ascii="Arial" w:hAnsi="Arial" w:eastAsia="Arial" w:cs="Arial"/>
      <w:color w:val="2e74b5" w:themeColor="accent1" w:themeShade="BF"/>
      <w:sz w:val="28"/>
      <w:szCs w:val="28"/>
    </w:rPr>
  </w:style>
  <w:style w:type="paragraph" w:styleId="1028">
    <w:name w:val="Heading 4"/>
    <w:basedOn w:val="1024"/>
    <w:next w:val="1024"/>
    <w:link w:val="1193"/>
    <w:uiPriority w:val="9"/>
    <w:unhideWhenUsed/>
    <w:qFormat/>
    <w:pPr>
      <w:keepNext w:val="true"/>
      <w:keepLines w:val="true"/>
      <w:pBdr/>
      <w:spacing w:after="40" w:before="80"/>
      <w:ind/>
      <w:outlineLvl w:val="3"/>
    </w:pPr>
    <w:rPr>
      <w:rFonts w:ascii="Arial" w:hAnsi="Arial" w:eastAsia="Arial" w:cs="Arial"/>
      <w:i/>
      <w:iCs/>
      <w:color w:val="2e74b5" w:themeColor="accent1" w:themeShade="BF"/>
    </w:rPr>
  </w:style>
  <w:style w:type="paragraph" w:styleId="1029">
    <w:name w:val="Heading 5"/>
    <w:basedOn w:val="1024"/>
    <w:next w:val="1024"/>
    <w:link w:val="1194"/>
    <w:uiPriority w:val="9"/>
    <w:unhideWhenUsed/>
    <w:qFormat/>
    <w:pPr>
      <w:keepNext w:val="true"/>
      <w:keepLines w:val="true"/>
      <w:pBdr/>
      <w:spacing w:after="40" w:before="80"/>
      <w:ind/>
      <w:outlineLvl w:val="4"/>
    </w:pPr>
    <w:rPr>
      <w:rFonts w:ascii="Arial" w:hAnsi="Arial" w:eastAsia="Arial" w:cs="Arial"/>
      <w:color w:val="2e74b5" w:themeColor="accent1" w:themeShade="BF"/>
    </w:rPr>
  </w:style>
  <w:style w:type="paragraph" w:styleId="1030">
    <w:name w:val="Heading 6"/>
    <w:basedOn w:val="1024"/>
    <w:next w:val="1024"/>
    <w:link w:val="119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31">
    <w:name w:val="Heading 7"/>
    <w:basedOn w:val="1024"/>
    <w:next w:val="1024"/>
    <w:link w:val="119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32">
    <w:name w:val="Heading 8"/>
    <w:basedOn w:val="1024"/>
    <w:next w:val="1024"/>
    <w:link w:val="119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33">
    <w:name w:val="Heading 9"/>
    <w:basedOn w:val="1024"/>
    <w:next w:val="1024"/>
    <w:link w:val="119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34" w:default="1">
    <w:name w:val="Default Paragraph Font"/>
    <w:uiPriority w:val="1"/>
    <w:semiHidden/>
    <w:unhideWhenUsed/>
    <w:pPr>
      <w:pBdr/>
      <w:spacing/>
      <w:ind/>
    </w:pPr>
  </w:style>
  <w:style w:type="table" w:styleId="10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6" w:default="1">
    <w:name w:val="No List"/>
    <w:uiPriority w:val="99"/>
    <w:semiHidden/>
    <w:unhideWhenUsed/>
    <w:pPr>
      <w:pBdr/>
      <w:spacing/>
      <w:ind/>
    </w:pPr>
  </w:style>
  <w:style w:type="character" w:styleId="1037">
    <w:name w:val="Placeholder Text"/>
    <w:basedOn w:val="1034"/>
    <w:uiPriority w:val="99"/>
    <w:semiHidden/>
    <w:pPr>
      <w:pBdr/>
      <w:spacing/>
      <w:ind/>
    </w:pPr>
    <w:rPr>
      <w:color w:val="666666"/>
    </w:rPr>
  </w:style>
  <w:style w:type="paragraph" w:styleId="1038">
    <w:name w:val="toc 1"/>
    <w:basedOn w:val="1024"/>
    <w:next w:val="1024"/>
    <w:uiPriority w:val="39"/>
    <w:unhideWhenUsed/>
    <w:pPr>
      <w:pBdr/>
      <w:spacing w:after="100"/>
      <w:ind/>
    </w:pPr>
  </w:style>
  <w:style w:type="paragraph" w:styleId="1039">
    <w:name w:val="toc 2"/>
    <w:basedOn w:val="1024"/>
    <w:next w:val="1024"/>
    <w:uiPriority w:val="39"/>
    <w:unhideWhenUsed/>
    <w:pPr>
      <w:pBdr/>
      <w:spacing w:after="100"/>
      <w:ind w:left="220"/>
    </w:pPr>
  </w:style>
  <w:style w:type="paragraph" w:styleId="1040">
    <w:name w:val="toc 3"/>
    <w:basedOn w:val="1024"/>
    <w:next w:val="1024"/>
    <w:uiPriority w:val="39"/>
    <w:unhideWhenUsed/>
    <w:pPr>
      <w:pBdr/>
      <w:spacing w:after="100"/>
      <w:ind w:left="440"/>
    </w:pPr>
  </w:style>
  <w:style w:type="paragraph" w:styleId="1041">
    <w:name w:val="toc 4"/>
    <w:basedOn w:val="1024"/>
    <w:next w:val="1024"/>
    <w:uiPriority w:val="39"/>
    <w:unhideWhenUsed/>
    <w:pPr>
      <w:pBdr/>
      <w:spacing w:after="100"/>
      <w:ind w:left="660"/>
    </w:pPr>
  </w:style>
  <w:style w:type="paragraph" w:styleId="1042">
    <w:name w:val="toc 5"/>
    <w:basedOn w:val="1024"/>
    <w:next w:val="1024"/>
    <w:uiPriority w:val="39"/>
    <w:unhideWhenUsed/>
    <w:pPr>
      <w:pBdr/>
      <w:spacing w:after="100"/>
      <w:ind w:left="880"/>
    </w:pPr>
  </w:style>
  <w:style w:type="paragraph" w:styleId="1043">
    <w:name w:val="toc 6"/>
    <w:basedOn w:val="1024"/>
    <w:next w:val="1024"/>
    <w:uiPriority w:val="39"/>
    <w:unhideWhenUsed/>
    <w:pPr>
      <w:pBdr/>
      <w:spacing w:after="100"/>
      <w:ind w:left="1100"/>
    </w:pPr>
  </w:style>
  <w:style w:type="paragraph" w:styleId="1044">
    <w:name w:val="toc 7"/>
    <w:basedOn w:val="1024"/>
    <w:next w:val="1024"/>
    <w:uiPriority w:val="39"/>
    <w:unhideWhenUsed/>
    <w:pPr>
      <w:pBdr/>
      <w:spacing w:after="100"/>
      <w:ind w:left="1320"/>
    </w:pPr>
  </w:style>
  <w:style w:type="paragraph" w:styleId="1045">
    <w:name w:val="toc 8"/>
    <w:basedOn w:val="1024"/>
    <w:next w:val="1024"/>
    <w:uiPriority w:val="39"/>
    <w:unhideWhenUsed/>
    <w:pPr>
      <w:pBdr/>
      <w:spacing w:after="100"/>
      <w:ind w:left="1540"/>
    </w:pPr>
  </w:style>
  <w:style w:type="paragraph" w:styleId="1046">
    <w:name w:val="toc 9"/>
    <w:basedOn w:val="1024"/>
    <w:next w:val="1024"/>
    <w:uiPriority w:val="39"/>
    <w:unhideWhenUsed/>
    <w:pPr>
      <w:pBdr/>
      <w:spacing w:after="100"/>
      <w:ind w:left="1760"/>
    </w:pPr>
  </w:style>
  <w:style w:type="character" w:styleId="1047" w:customStyle="1">
    <w:name w:val="Heading 1 Char"/>
    <w:basedOn w:val="1034"/>
    <w:uiPriority w:val="9"/>
    <w:pPr>
      <w:pBdr/>
      <w:spacing/>
      <w:ind/>
    </w:pPr>
    <w:rPr>
      <w:rFonts w:ascii="Arial" w:hAnsi="Arial" w:eastAsia="Arial" w:cs="Arial"/>
      <w:color w:val="2e74b5" w:themeColor="accent1" w:themeShade="BF"/>
      <w:sz w:val="40"/>
      <w:szCs w:val="40"/>
    </w:rPr>
  </w:style>
  <w:style w:type="character" w:styleId="1048" w:customStyle="1">
    <w:name w:val="Heading 2 Char"/>
    <w:basedOn w:val="1034"/>
    <w:uiPriority w:val="9"/>
    <w:pPr>
      <w:pBdr/>
      <w:spacing/>
      <w:ind/>
    </w:pPr>
    <w:rPr>
      <w:rFonts w:ascii="Arial" w:hAnsi="Arial" w:eastAsia="Arial" w:cs="Arial"/>
      <w:color w:val="2e74b5" w:themeColor="accent1" w:themeShade="BF"/>
      <w:sz w:val="32"/>
      <w:szCs w:val="32"/>
    </w:rPr>
  </w:style>
  <w:style w:type="character" w:styleId="1049" w:customStyle="1">
    <w:name w:val="Heading 3 Char"/>
    <w:basedOn w:val="1034"/>
    <w:uiPriority w:val="9"/>
    <w:pPr>
      <w:pBdr/>
      <w:spacing/>
      <w:ind/>
    </w:pPr>
    <w:rPr>
      <w:rFonts w:ascii="Arial" w:hAnsi="Arial" w:eastAsia="Arial" w:cs="Arial"/>
      <w:color w:val="2e74b5" w:themeColor="accent1" w:themeShade="BF"/>
      <w:sz w:val="28"/>
      <w:szCs w:val="28"/>
    </w:rPr>
  </w:style>
  <w:style w:type="character" w:styleId="1050" w:customStyle="1">
    <w:name w:val="Heading 4 Char"/>
    <w:basedOn w:val="1034"/>
    <w:uiPriority w:val="9"/>
    <w:pPr>
      <w:pBdr/>
      <w:spacing/>
      <w:ind/>
    </w:pPr>
    <w:rPr>
      <w:rFonts w:ascii="Arial" w:hAnsi="Arial" w:eastAsia="Arial" w:cs="Arial"/>
      <w:i/>
      <w:iCs/>
      <w:color w:val="2e74b5" w:themeColor="accent1" w:themeShade="BF"/>
    </w:rPr>
  </w:style>
  <w:style w:type="character" w:styleId="1051" w:customStyle="1">
    <w:name w:val="Heading 5 Char"/>
    <w:basedOn w:val="1034"/>
    <w:uiPriority w:val="9"/>
    <w:pPr>
      <w:pBdr/>
      <w:spacing/>
      <w:ind/>
    </w:pPr>
    <w:rPr>
      <w:rFonts w:ascii="Arial" w:hAnsi="Arial" w:eastAsia="Arial" w:cs="Arial"/>
      <w:color w:val="2e74b5" w:themeColor="accent1" w:themeShade="BF"/>
    </w:rPr>
  </w:style>
  <w:style w:type="character" w:styleId="1052" w:customStyle="1">
    <w:name w:val="Heading 6 Char"/>
    <w:basedOn w:val="1034"/>
    <w:uiPriority w:val="9"/>
    <w:pPr>
      <w:pBdr/>
      <w:spacing/>
      <w:ind/>
    </w:pPr>
    <w:rPr>
      <w:rFonts w:ascii="Arial" w:hAnsi="Arial" w:eastAsia="Arial" w:cs="Arial"/>
      <w:i/>
      <w:iCs/>
      <w:color w:val="595959" w:themeColor="text1" w:themeTint="A6"/>
    </w:rPr>
  </w:style>
  <w:style w:type="character" w:styleId="1053" w:customStyle="1">
    <w:name w:val="Heading 7 Char"/>
    <w:basedOn w:val="1034"/>
    <w:uiPriority w:val="9"/>
    <w:pPr>
      <w:pBdr/>
      <w:spacing/>
      <w:ind/>
    </w:pPr>
    <w:rPr>
      <w:rFonts w:ascii="Arial" w:hAnsi="Arial" w:eastAsia="Arial" w:cs="Arial"/>
      <w:color w:val="595959" w:themeColor="text1" w:themeTint="A6"/>
    </w:rPr>
  </w:style>
  <w:style w:type="character" w:styleId="1054" w:customStyle="1">
    <w:name w:val="Heading 8 Char"/>
    <w:basedOn w:val="1034"/>
    <w:uiPriority w:val="9"/>
    <w:pPr>
      <w:pBdr/>
      <w:spacing/>
      <w:ind/>
    </w:pPr>
    <w:rPr>
      <w:rFonts w:ascii="Arial" w:hAnsi="Arial" w:eastAsia="Arial" w:cs="Arial"/>
      <w:i/>
      <w:iCs/>
      <w:color w:val="272727" w:themeColor="text1" w:themeTint="D8"/>
    </w:rPr>
  </w:style>
  <w:style w:type="character" w:styleId="1055" w:customStyle="1">
    <w:name w:val="Heading 9 Char"/>
    <w:basedOn w:val="1034"/>
    <w:uiPriority w:val="9"/>
    <w:pPr>
      <w:pBdr/>
      <w:spacing/>
      <w:ind/>
    </w:pPr>
    <w:rPr>
      <w:rFonts w:ascii="Arial" w:hAnsi="Arial" w:eastAsia="Arial" w:cs="Arial"/>
      <w:i/>
      <w:iCs/>
      <w:color w:val="272727" w:themeColor="text1" w:themeTint="D8"/>
    </w:rPr>
  </w:style>
  <w:style w:type="character" w:styleId="1056" w:customStyle="1">
    <w:name w:val="Title Char"/>
    <w:basedOn w:val="1034"/>
    <w:uiPriority w:val="10"/>
    <w:pPr>
      <w:pBdr/>
      <w:spacing/>
      <w:ind/>
    </w:pPr>
    <w:rPr>
      <w:rFonts w:ascii="Arial" w:hAnsi="Arial" w:eastAsia="Arial" w:cs="Arial"/>
      <w:spacing w:val="-10"/>
      <w:sz w:val="56"/>
      <w:szCs w:val="56"/>
    </w:rPr>
  </w:style>
  <w:style w:type="character" w:styleId="1057" w:customStyle="1">
    <w:name w:val="Subtitle Char"/>
    <w:basedOn w:val="1034"/>
    <w:uiPriority w:val="11"/>
    <w:pPr>
      <w:pBdr/>
      <w:spacing/>
      <w:ind/>
    </w:pPr>
    <w:rPr>
      <w:color w:val="595959" w:themeColor="text1" w:themeTint="A6"/>
      <w:spacing w:val="15"/>
      <w:sz w:val="28"/>
      <w:szCs w:val="28"/>
    </w:rPr>
  </w:style>
  <w:style w:type="character" w:styleId="1058" w:customStyle="1">
    <w:name w:val="Quote Char"/>
    <w:basedOn w:val="1034"/>
    <w:uiPriority w:val="29"/>
    <w:pPr>
      <w:pBdr/>
      <w:spacing/>
      <w:ind/>
    </w:pPr>
    <w:rPr>
      <w:i/>
      <w:iCs/>
      <w:color w:val="404040" w:themeColor="text1" w:themeTint="BF"/>
    </w:rPr>
  </w:style>
  <w:style w:type="character" w:styleId="1059" w:customStyle="1">
    <w:name w:val="Intense Quote Char"/>
    <w:basedOn w:val="1034"/>
    <w:uiPriority w:val="30"/>
    <w:pPr>
      <w:pBdr/>
      <w:spacing/>
      <w:ind/>
    </w:pPr>
    <w:rPr>
      <w:i/>
      <w:iCs/>
      <w:color w:val="2e74b5" w:themeColor="accent1" w:themeShade="BF"/>
    </w:rPr>
  </w:style>
  <w:style w:type="character" w:styleId="1060" w:customStyle="1">
    <w:name w:val="Header Char"/>
    <w:basedOn w:val="1034"/>
    <w:uiPriority w:val="99"/>
    <w:pPr>
      <w:pBdr/>
      <w:spacing/>
      <w:ind/>
    </w:pPr>
  </w:style>
  <w:style w:type="character" w:styleId="1061" w:customStyle="1">
    <w:name w:val="Footer Char"/>
    <w:basedOn w:val="1034"/>
    <w:uiPriority w:val="99"/>
    <w:pPr>
      <w:pBdr/>
      <w:spacing/>
      <w:ind/>
    </w:pPr>
  </w:style>
  <w:style w:type="character" w:styleId="1062" w:customStyle="1">
    <w:name w:val="Footnote Text Char"/>
    <w:basedOn w:val="1034"/>
    <w:uiPriority w:val="99"/>
    <w:semiHidden/>
    <w:pPr>
      <w:pBdr/>
      <w:spacing/>
      <w:ind/>
    </w:pPr>
    <w:rPr>
      <w:sz w:val="20"/>
      <w:szCs w:val="20"/>
    </w:rPr>
  </w:style>
  <w:style w:type="character" w:styleId="1063" w:customStyle="1">
    <w:name w:val="Endnote Text Char"/>
    <w:basedOn w:val="1034"/>
    <w:uiPriority w:val="99"/>
    <w:semiHidden/>
    <w:pPr>
      <w:pBdr/>
      <w:spacing/>
      <w:ind/>
    </w:pPr>
    <w:rPr>
      <w:sz w:val="20"/>
      <w:szCs w:val="20"/>
    </w:rPr>
  </w:style>
  <w:style w:type="table" w:styleId="1064">
    <w:name w:val="Table Grid"/>
    <w:basedOn w:val="10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Table Grid Light"/>
    <w:basedOn w:val="10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Plain Table 1"/>
    <w:basedOn w:val="10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Plain Table 2"/>
    <w:basedOn w:val="10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Plain Table 3"/>
    <w:basedOn w:val="10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Plain Table 4"/>
    <w:basedOn w:val="10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Plain Table 5"/>
    <w:basedOn w:val="10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Grid Table 1 Light"/>
    <w:basedOn w:val="10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Grid Table 1 Light - Accent 1"/>
    <w:basedOn w:val="1035"/>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Grid Table 1 Light - Accent 2"/>
    <w:basedOn w:val="103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Grid Table 1 Light - Accent 3"/>
    <w:basedOn w:val="103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Grid Table 1 Light - Accent 4"/>
    <w:basedOn w:val="103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Grid Table 1 Light - Accent 5"/>
    <w:basedOn w:val="1035"/>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Grid Table 1 Light - Accent 6"/>
    <w:basedOn w:val="103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Grid Table 2"/>
    <w:basedOn w:val="10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Grid Table 2 - Accent 1"/>
    <w:basedOn w:val="1035"/>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Grid Table 2 - Accent 2"/>
    <w:basedOn w:val="103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Grid Table 2 - Accent 3"/>
    <w:basedOn w:val="103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Grid Table 2 - Accent 4"/>
    <w:basedOn w:val="103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Grid Table 2 - Accent 5"/>
    <w:basedOn w:val="1035"/>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Grid Table 2 - Accent 6"/>
    <w:basedOn w:val="103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Grid Table 3"/>
    <w:basedOn w:val="10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Grid Table 3 - Accent 1"/>
    <w:basedOn w:val="1035"/>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Grid Table 3 - Accent 2"/>
    <w:basedOn w:val="103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Grid Table 3 - Accent 3"/>
    <w:basedOn w:val="103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Grid Table 3 - Accent 4"/>
    <w:basedOn w:val="103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Grid Table 3 - Accent 5"/>
    <w:basedOn w:val="1035"/>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Grid Table 3 - Accent 6"/>
    <w:basedOn w:val="103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Grid Table 4"/>
    <w:basedOn w:val="10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Grid Table 4 - Accent 1"/>
    <w:basedOn w:val="1035"/>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customStyle="1">
    <w:name w:val="Grid Table 4 - Accent 2"/>
    <w:basedOn w:val="1035"/>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customStyle="1">
    <w:name w:val="Grid Table 4 - Accent 3"/>
    <w:basedOn w:val="1035"/>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customStyle="1">
    <w:name w:val="Grid Table 4 - Accent 4"/>
    <w:basedOn w:val="1035"/>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customStyle="1">
    <w:name w:val="Grid Table 4 - Accent 5"/>
    <w:basedOn w:val="1035"/>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Grid Table 4 - Accent 6"/>
    <w:basedOn w:val="1035"/>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Grid Table 5 Dark"/>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Grid Table 5 Dark- Accent 1"/>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Grid Table 5 Dark - Accent 2"/>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Grid Table 5 Dark - Accent 3"/>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Grid Table 5 Dark- Accent 4"/>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Grid Table 5 Dark - Accent 5"/>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Grid Table 5 Dark - Accent 6"/>
    <w:basedOn w:val="10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Grid Table 6 Colorful"/>
    <w:basedOn w:val="10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Grid Table 6 Colorful - Accent 1"/>
    <w:basedOn w:val="1035"/>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Grid Table 6 Colorful - Accent 2"/>
    <w:basedOn w:val="103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Grid Table 6 Colorful - Accent 3"/>
    <w:basedOn w:val="1035"/>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Grid Table 6 Colorful - Accent 4"/>
    <w:basedOn w:val="103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Grid Table 6 Colorful - Accent 5"/>
    <w:basedOn w:val="1035"/>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Grid Table 6 Colorful - Accent 6"/>
    <w:basedOn w:val="1035"/>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Grid Table 7 Colorful"/>
    <w:basedOn w:val="10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customStyle="1">
    <w:name w:val="Grid Table 7 Colorful - Accent 1"/>
    <w:basedOn w:val="1035"/>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customStyle="1">
    <w:name w:val="Grid Table 7 Colorful - Accent 2"/>
    <w:basedOn w:val="1035"/>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customStyle="1">
    <w:name w:val="Grid Table 7 Colorful - Accent 3"/>
    <w:basedOn w:val="1035"/>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customStyle="1">
    <w:name w:val="Grid Table 7 Colorful - Accent 4"/>
    <w:basedOn w:val="1035"/>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customStyle="1">
    <w:name w:val="Grid Table 7 Colorful - Accent 5"/>
    <w:basedOn w:val="1035"/>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Grid Table 7 Colorful - Accent 6"/>
    <w:basedOn w:val="1035"/>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List Table 1 Light"/>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List Table 1 Light - Accent 1"/>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List Table 1 Light - Accent 2"/>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List Table 1 Light - Accent 3"/>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List Table 1 Light - Accent 4"/>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List Table 1 Light - Accent 5"/>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List Table 1 Light - Accent 6"/>
    <w:basedOn w:val="10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List Table 2"/>
    <w:basedOn w:val="10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List Table 2 - Accent 1"/>
    <w:basedOn w:val="1035"/>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List Table 2 - Accent 2"/>
    <w:basedOn w:val="1035"/>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List Table 2 - Accent 3"/>
    <w:basedOn w:val="1035"/>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List Table 2 - Accent 4"/>
    <w:basedOn w:val="1035"/>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List Table 2 - Accent 5"/>
    <w:basedOn w:val="1035"/>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List Table 2 - Accent 6"/>
    <w:basedOn w:val="1035"/>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name w:val="List Table 3"/>
    <w:basedOn w:val="10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List Table 3 - Accent 1"/>
    <w:basedOn w:val="1035"/>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List Table 3 - Accent 2"/>
    <w:basedOn w:val="103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List Table 3 - Accent 3"/>
    <w:basedOn w:val="1035"/>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List Table 3 - Accent 4"/>
    <w:basedOn w:val="103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List Table 3 - Accent 5"/>
    <w:basedOn w:val="1035"/>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List Table 3 - Accent 6"/>
    <w:basedOn w:val="1035"/>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name w:val="List Table 4"/>
    <w:basedOn w:val="10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List Table 4 - Accent 1"/>
    <w:basedOn w:val="1035"/>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List Table 4 - Accent 2"/>
    <w:basedOn w:val="1035"/>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List Table 4 - Accent 3"/>
    <w:basedOn w:val="1035"/>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List Table 4 - Accent 4"/>
    <w:basedOn w:val="1035"/>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List Table 4 - Accent 5"/>
    <w:basedOn w:val="1035"/>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List Table 4 - Accent 6"/>
    <w:basedOn w:val="1035"/>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name w:val="List Table 5 Dark"/>
    <w:basedOn w:val="10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List Table 5 Dark - Accent 1"/>
    <w:basedOn w:val="1035"/>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customStyle="1">
    <w:name w:val="List Table 5 Dark - Accent 2"/>
    <w:basedOn w:val="1035"/>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1" w:customStyle="1">
    <w:name w:val="List Table 5 Dark - Accent 3"/>
    <w:basedOn w:val="1035"/>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List Table 5 Dark - Accent 4"/>
    <w:basedOn w:val="1035"/>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customStyle="1">
    <w:name w:val="List Table 5 Dark - Accent 5"/>
    <w:basedOn w:val="1035"/>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customStyle="1">
    <w:name w:val="List Table 5 Dark - Accent 6"/>
    <w:basedOn w:val="1035"/>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name w:val="List Table 6 Colorful"/>
    <w:basedOn w:val="10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customStyle="1">
    <w:name w:val="List Table 6 Colorful - Accent 1"/>
    <w:basedOn w:val="1035"/>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customStyle="1">
    <w:name w:val="List Table 6 Colorful - Accent 2"/>
    <w:basedOn w:val="1035"/>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customStyle="1">
    <w:name w:val="List Table 6 Colorful - Accent 3"/>
    <w:basedOn w:val="1035"/>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customStyle="1">
    <w:name w:val="List Table 6 Colorful - Accent 4"/>
    <w:basedOn w:val="1035"/>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customStyle="1">
    <w:name w:val="List Table 6 Colorful - Accent 5"/>
    <w:basedOn w:val="1035"/>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customStyle="1">
    <w:name w:val="List Table 6 Colorful - Accent 6"/>
    <w:basedOn w:val="1035"/>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name w:val="List Table 7 Colorful"/>
    <w:basedOn w:val="10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customStyle="1">
    <w:name w:val="List Table 7 Colorful - Accent 1"/>
    <w:basedOn w:val="1035"/>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customStyle="1">
    <w:name w:val="List Table 7 Colorful - Accent 2"/>
    <w:basedOn w:val="1035"/>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customStyle="1">
    <w:name w:val="List Table 7 Colorful - Accent 3"/>
    <w:basedOn w:val="1035"/>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customStyle="1">
    <w:name w:val="List Table 7 Colorful - Accent 4"/>
    <w:basedOn w:val="1035"/>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customStyle="1">
    <w:name w:val="List Table 7 Colorful - Accent 5"/>
    <w:basedOn w:val="1035"/>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customStyle="1">
    <w:name w:val="List Table 7 Colorful - Accent 6"/>
    <w:basedOn w:val="1035"/>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customStyle="1">
    <w:name w:val="Lined - Accent"/>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customStyle="1">
    <w:name w:val="Lined - Accent 1"/>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customStyle="1">
    <w:name w:val="Lined - Accent 2"/>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customStyle="1">
    <w:name w:val="Lined - Accent 3"/>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customStyle="1">
    <w:name w:val="Lined - Accent 4"/>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customStyle="1">
    <w:name w:val="Lined - Accent 5"/>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customStyle="1">
    <w:name w:val="Lined - Accent 6"/>
    <w:basedOn w:val="1035"/>
    <w:uiPriority w:val="99"/>
    <w:pPr>
      <w:pBdr/>
      <w:spacing w:after="0" w:line="240" w:lineRule="auto"/>
      <w:ind/>
    </w:pPr>
    <w:rPr>
      <w:color w:val="404040"/>
      <w:sz w:val="20"/>
      <w:szCs w:val="20"/>
      <w:lang w:eastAsia="es-ES_tradnl"/>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customStyle="1">
    <w:name w:val="Bordered &amp; Lined - Accent"/>
    <w:basedOn w:val="1035"/>
    <w:uiPriority w:val="99"/>
    <w:pPr>
      <w:pBdr/>
      <w:spacing w:after="0" w:line="240" w:lineRule="auto"/>
      <w:ind/>
    </w:pPr>
    <w:rPr>
      <w:color w:val="404040"/>
      <w:sz w:val="20"/>
      <w:szCs w:val="20"/>
      <w:lang w:eastAsia="es-ES_tradnl"/>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customStyle="1">
    <w:name w:val="Bordered &amp; Lined - Accent 1"/>
    <w:basedOn w:val="1035"/>
    <w:uiPriority w:val="99"/>
    <w:pPr>
      <w:pBdr/>
      <w:spacing w:after="0" w:line="240" w:lineRule="auto"/>
      <w:ind/>
    </w:pPr>
    <w:rPr>
      <w:color w:val="404040"/>
      <w:sz w:val="20"/>
      <w:szCs w:val="20"/>
      <w:lang w:eastAsia="es-ES_tradnl"/>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customStyle="1">
    <w:name w:val="Bordered &amp; Lined - Accent 2"/>
    <w:basedOn w:val="1035"/>
    <w:uiPriority w:val="99"/>
    <w:pPr>
      <w:pBdr/>
      <w:spacing w:after="0" w:line="240" w:lineRule="auto"/>
      <w:ind/>
    </w:pPr>
    <w:rPr>
      <w:color w:val="404040"/>
      <w:sz w:val="20"/>
      <w:szCs w:val="20"/>
      <w:lang w:eastAsia="es-ES_tradnl"/>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customStyle="1">
    <w:name w:val="Bordered &amp; Lined - Accent 3"/>
    <w:basedOn w:val="1035"/>
    <w:uiPriority w:val="99"/>
    <w:pPr>
      <w:pBdr/>
      <w:spacing w:after="0" w:line="240" w:lineRule="auto"/>
      <w:ind/>
    </w:pPr>
    <w:rPr>
      <w:color w:val="404040"/>
      <w:sz w:val="20"/>
      <w:szCs w:val="20"/>
      <w:lang w:eastAsia="es-ES_tradnl"/>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customStyle="1">
    <w:name w:val="Bordered &amp; Lined - Accent 4"/>
    <w:basedOn w:val="1035"/>
    <w:uiPriority w:val="99"/>
    <w:pPr>
      <w:pBdr/>
      <w:spacing w:after="0" w:line="240" w:lineRule="auto"/>
      <w:ind/>
    </w:pPr>
    <w:rPr>
      <w:color w:val="404040"/>
      <w:sz w:val="20"/>
      <w:szCs w:val="20"/>
      <w:lang w:eastAsia="es-ES_tradnl"/>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customStyle="1">
    <w:name w:val="Bordered &amp; Lined - Accent 5"/>
    <w:basedOn w:val="1035"/>
    <w:uiPriority w:val="99"/>
    <w:pPr>
      <w:pBdr/>
      <w:spacing w:after="0" w:line="240" w:lineRule="auto"/>
      <w:ind/>
    </w:pPr>
    <w:rPr>
      <w:color w:val="404040"/>
      <w:sz w:val="20"/>
      <w:szCs w:val="20"/>
      <w:lang w:eastAsia="es-ES_tradnl"/>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customStyle="1">
    <w:name w:val="Bordered &amp; Lined - Accent 6"/>
    <w:basedOn w:val="1035"/>
    <w:uiPriority w:val="99"/>
    <w:pPr>
      <w:pBdr/>
      <w:spacing w:after="0" w:line="240" w:lineRule="auto"/>
      <w:ind/>
    </w:pPr>
    <w:rPr>
      <w:color w:val="404040"/>
      <w:sz w:val="20"/>
      <w:szCs w:val="20"/>
      <w:lang w:eastAsia="es-ES_tradnl"/>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customStyle="1">
    <w:name w:val="Bordered"/>
    <w:basedOn w:val="10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customStyle="1">
    <w:name w:val="Bordered - Accent 1"/>
    <w:basedOn w:val="1035"/>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customStyle="1">
    <w:name w:val="Bordered - Accent 2"/>
    <w:basedOn w:val="103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customStyle="1">
    <w:name w:val="Bordered - Accent 3"/>
    <w:basedOn w:val="103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7" w:customStyle="1">
    <w:name w:val="Bordered - Accent 4"/>
    <w:basedOn w:val="103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8" w:customStyle="1">
    <w:name w:val="Bordered - Accent 5"/>
    <w:basedOn w:val="1035"/>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9" w:customStyle="1">
    <w:name w:val="Bordered - Accent 6"/>
    <w:basedOn w:val="103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90" w:customStyle="1">
    <w:name w:val="Título 1 Car"/>
    <w:basedOn w:val="1034"/>
    <w:link w:val="1025"/>
    <w:uiPriority w:val="9"/>
    <w:pPr>
      <w:pBdr/>
      <w:spacing/>
      <w:ind/>
    </w:pPr>
    <w:rPr>
      <w:rFonts w:ascii="Arial" w:hAnsi="Arial" w:eastAsia="Arial" w:cs="Arial"/>
      <w:color w:val="2e74b5" w:themeColor="accent1" w:themeShade="BF"/>
      <w:sz w:val="40"/>
      <w:szCs w:val="40"/>
    </w:rPr>
  </w:style>
  <w:style w:type="character" w:styleId="1191" w:customStyle="1">
    <w:name w:val="Título 2 Car"/>
    <w:basedOn w:val="1034"/>
    <w:link w:val="1026"/>
    <w:uiPriority w:val="9"/>
    <w:pPr>
      <w:pBdr/>
      <w:spacing/>
      <w:ind/>
    </w:pPr>
    <w:rPr>
      <w:rFonts w:ascii="Arial" w:hAnsi="Arial" w:eastAsia="Arial" w:cs="Arial"/>
      <w:color w:val="2e74b5" w:themeColor="accent1" w:themeShade="BF"/>
      <w:sz w:val="32"/>
      <w:szCs w:val="32"/>
    </w:rPr>
  </w:style>
  <w:style w:type="character" w:styleId="1192" w:customStyle="1">
    <w:name w:val="Título 3 Car"/>
    <w:basedOn w:val="1034"/>
    <w:link w:val="1027"/>
    <w:uiPriority w:val="9"/>
    <w:pPr>
      <w:pBdr/>
      <w:spacing/>
      <w:ind/>
    </w:pPr>
    <w:rPr>
      <w:rFonts w:ascii="Arial" w:hAnsi="Arial" w:eastAsia="Arial" w:cs="Arial"/>
      <w:color w:val="2e74b5" w:themeColor="accent1" w:themeShade="BF"/>
      <w:sz w:val="28"/>
      <w:szCs w:val="28"/>
    </w:rPr>
  </w:style>
  <w:style w:type="character" w:styleId="1193" w:customStyle="1">
    <w:name w:val="Título 4 Car"/>
    <w:basedOn w:val="1034"/>
    <w:link w:val="1028"/>
    <w:uiPriority w:val="9"/>
    <w:pPr>
      <w:pBdr/>
      <w:spacing/>
      <w:ind/>
    </w:pPr>
    <w:rPr>
      <w:rFonts w:ascii="Arial" w:hAnsi="Arial" w:eastAsia="Arial" w:cs="Arial"/>
      <w:i/>
      <w:iCs/>
      <w:color w:val="2e74b5" w:themeColor="accent1" w:themeShade="BF"/>
    </w:rPr>
  </w:style>
  <w:style w:type="character" w:styleId="1194" w:customStyle="1">
    <w:name w:val="Título 5 Car"/>
    <w:basedOn w:val="1034"/>
    <w:link w:val="1029"/>
    <w:uiPriority w:val="9"/>
    <w:pPr>
      <w:pBdr/>
      <w:spacing/>
      <w:ind/>
    </w:pPr>
    <w:rPr>
      <w:rFonts w:ascii="Arial" w:hAnsi="Arial" w:eastAsia="Arial" w:cs="Arial"/>
      <w:color w:val="2e74b5" w:themeColor="accent1" w:themeShade="BF"/>
    </w:rPr>
  </w:style>
  <w:style w:type="character" w:styleId="1195" w:customStyle="1">
    <w:name w:val="Título 6 Car"/>
    <w:basedOn w:val="1034"/>
    <w:link w:val="1030"/>
    <w:uiPriority w:val="9"/>
    <w:pPr>
      <w:pBdr/>
      <w:spacing/>
      <w:ind/>
    </w:pPr>
    <w:rPr>
      <w:rFonts w:ascii="Arial" w:hAnsi="Arial" w:eastAsia="Arial" w:cs="Arial"/>
      <w:i/>
      <w:iCs/>
      <w:color w:val="595959" w:themeColor="text1" w:themeTint="A6"/>
    </w:rPr>
  </w:style>
  <w:style w:type="character" w:styleId="1196" w:customStyle="1">
    <w:name w:val="Título 7 Car"/>
    <w:basedOn w:val="1034"/>
    <w:link w:val="1031"/>
    <w:uiPriority w:val="9"/>
    <w:pPr>
      <w:pBdr/>
      <w:spacing/>
      <w:ind/>
    </w:pPr>
    <w:rPr>
      <w:rFonts w:ascii="Arial" w:hAnsi="Arial" w:eastAsia="Arial" w:cs="Arial"/>
      <w:color w:val="595959" w:themeColor="text1" w:themeTint="A6"/>
    </w:rPr>
  </w:style>
  <w:style w:type="character" w:styleId="1197" w:customStyle="1">
    <w:name w:val="Título 8 Car"/>
    <w:basedOn w:val="1034"/>
    <w:link w:val="1032"/>
    <w:uiPriority w:val="9"/>
    <w:pPr>
      <w:pBdr/>
      <w:spacing/>
      <w:ind/>
    </w:pPr>
    <w:rPr>
      <w:rFonts w:ascii="Arial" w:hAnsi="Arial" w:eastAsia="Arial" w:cs="Arial"/>
      <w:i/>
      <w:iCs/>
      <w:color w:val="272727" w:themeColor="text1" w:themeTint="D8"/>
    </w:rPr>
  </w:style>
  <w:style w:type="character" w:styleId="1198" w:customStyle="1">
    <w:name w:val="Título 9 Car"/>
    <w:basedOn w:val="1034"/>
    <w:link w:val="1033"/>
    <w:uiPriority w:val="9"/>
    <w:pPr>
      <w:pBdr/>
      <w:spacing/>
      <w:ind/>
    </w:pPr>
    <w:rPr>
      <w:rFonts w:ascii="Arial" w:hAnsi="Arial" w:eastAsia="Arial" w:cs="Arial"/>
      <w:i/>
      <w:iCs/>
      <w:color w:val="272727" w:themeColor="text1" w:themeTint="D8"/>
    </w:rPr>
  </w:style>
  <w:style w:type="paragraph" w:styleId="1199">
    <w:name w:val="Title"/>
    <w:basedOn w:val="1024"/>
    <w:next w:val="1024"/>
    <w:link w:val="1200"/>
    <w:uiPriority w:val="10"/>
    <w:qFormat/>
    <w:pPr>
      <w:pBdr/>
      <w:spacing w:after="80" w:line="240" w:lineRule="auto"/>
      <w:ind/>
      <w:contextualSpacing w:val="true"/>
    </w:pPr>
    <w:rPr>
      <w:rFonts w:ascii="Arial" w:hAnsi="Arial" w:eastAsia="Arial" w:cs="Arial"/>
      <w:spacing w:val="-10"/>
      <w:sz w:val="56"/>
      <w:szCs w:val="56"/>
    </w:rPr>
  </w:style>
  <w:style w:type="character" w:styleId="1200" w:customStyle="1">
    <w:name w:val="Título Car"/>
    <w:basedOn w:val="1034"/>
    <w:link w:val="1199"/>
    <w:uiPriority w:val="10"/>
    <w:pPr>
      <w:pBdr/>
      <w:spacing/>
      <w:ind/>
    </w:pPr>
    <w:rPr>
      <w:rFonts w:ascii="Arial" w:hAnsi="Arial" w:eastAsia="Arial" w:cs="Arial"/>
      <w:spacing w:val="-10"/>
      <w:sz w:val="56"/>
      <w:szCs w:val="56"/>
    </w:rPr>
  </w:style>
  <w:style w:type="paragraph" w:styleId="1201">
    <w:name w:val="Subtitle"/>
    <w:basedOn w:val="1024"/>
    <w:next w:val="1024"/>
    <w:link w:val="1202"/>
    <w:uiPriority w:val="11"/>
    <w:qFormat/>
    <w:pPr>
      <w:numPr>
        <w:ilvl w:val="1"/>
      </w:numPr>
      <w:pBdr/>
      <w:spacing/>
      <w:ind/>
    </w:pPr>
    <w:rPr>
      <w:color w:val="595959" w:themeColor="text1" w:themeTint="A6"/>
      <w:spacing w:val="15"/>
      <w:sz w:val="28"/>
      <w:szCs w:val="28"/>
    </w:rPr>
  </w:style>
  <w:style w:type="character" w:styleId="1202" w:customStyle="1">
    <w:name w:val="Subtítulo Car"/>
    <w:basedOn w:val="1034"/>
    <w:link w:val="1201"/>
    <w:uiPriority w:val="11"/>
    <w:pPr>
      <w:pBdr/>
      <w:spacing/>
      <w:ind/>
    </w:pPr>
    <w:rPr>
      <w:color w:val="595959" w:themeColor="text1" w:themeTint="A6"/>
      <w:spacing w:val="15"/>
      <w:sz w:val="28"/>
      <w:szCs w:val="28"/>
    </w:rPr>
  </w:style>
  <w:style w:type="paragraph" w:styleId="1203">
    <w:name w:val="Quote"/>
    <w:basedOn w:val="1024"/>
    <w:next w:val="1024"/>
    <w:link w:val="1204"/>
    <w:uiPriority w:val="29"/>
    <w:qFormat/>
    <w:pPr>
      <w:pBdr/>
      <w:spacing w:before="160"/>
      <w:ind/>
      <w:jc w:val="center"/>
    </w:pPr>
    <w:rPr>
      <w:i/>
      <w:iCs/>
      <w:color w:val="404040" w:themeColor="text1" w:themeTint="BF"/>
    </w:rPr>
  </w:style>
  <w:style w:type="character" w:styleId="1204" w:customStyle="1">
    <w:name w:val="Cita Car"/>
    <w:basedOn w:val="1034"/>
    <w:link w:val="1203"/>
    <w:uiPriority w:val="29"/>
    <w:pPr>
      <w:pBdr/>
      <w:spacing/>
      <w:ind/>
    </w:pPr>
    <w:rPr>
      <w:i/>
      <w:iCs/>
      <w:color w:val="404040" w:themeColor="text1" w:themeTint="BF"/>
    </w:rPr>
  </w:style>
  <w:style w:type="character" w:styleId="1205">
    <w:name w:val="Intense Emphasis"/>
    <w:basedOn w:val="1034"/>
    <w:uiPriority w:val="21"/>
    <w:qFormat/>
    <w:pPr>
      <w:pBdr/>
      <w:spacing/>
      <w:ind/>
    </w:pPr>
    <w:rPr>
      <w:i/>
      <w:iCs/>
      <w:color w:val="2e74b5" w:themeColor="accent1" w:themeShade="BF"/>
    </w:rPr>
  </w:style>
  <w:style w:type="paragraph" w:styleId="1206">
    <w:name w:val="Intense Quote"/>
    <w:basedOn w:val="1024"/>
    <w:next w:val="1024"/>
    <w:link w:val="1207"/>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1207" w:customStyle="1">
    <w:name w:val="Cita destacada Car"/>
    <w:basedOn w:val="1034"/>
    <w:link w:val="1206"/>
    <w:uiPriority w:val="30"/>
    <w:pPr>
      <w:pBdr/>
      <w:spacing/>
      <w:ind/>
    </w:pPr>
    <w:rPr>
      <w:i/>
      <w:iCs/>
      <w:color w:val="2e74b5" w:themeColor="accent1" w:themeShade="BF"/>
    </w:rPr>
  </w:style>
  <w:style w:type="character" w:styleId="1208">
    <w:name w:val="Intense Reference"/>
    <w:basedOn w:val="1034"/>
    <w:uiPriority w:val="32"/>
    <w:qFormat/>
    <w:pPr>
      <w:pBdr/>
      <w:spacing/>
      <w:ind/>
    </w:pPr>
    <w:rPr>
      <w:b/>
      <w:bCs/>
      <w:smallCaps/>
      <w:color w:val="2e74b5" w:themeColor="accent1" w:themeShade="BF"/>
      <w:spacing w:val="5"/>
    </w:rPr>
  </w:style>
  <w:style w:type="character" w:styleId="1209">
    <w:name w:val="Subtle Emphasis"/>
    <w:basedOn w:val="1034"/>
    <w:uiPriority w:val="19"/>
    <w:qFormat/>
    <w:pPr>
      <w:pBdr/>
      <w:spacing/>
      <w:ind/>
    </w:pPr>
    <w:rPr>
      <w:i/>
      <w:iCs/>
      <w:color w:val="404040" w:themeColor="text1" w:themeTint="BF"/>
    </w:rPr>
  </w:style>
  <w:style w:type="character" w:styleId="1210">
    <w:name w:val="Emphasis"/>
    <w:basedOn w:val="1034"/>
    <w:uiPriority w:val="20"/>
    <w:qFormat/>
    <w:pPr>
      <w:pBdr/>
      <w:spacing/>
      <w:ind/>
    </w:pPr>
    <w:rPr>
      <w:i/>
      <w:iCs/>
    </w:rPr>
  </w:style>
  <w:style w:type="character" w:styleId="1211">
    <w:name w:val="Strong"/>
    <w:basedOn w:val="1034"/>
    <w:uiPriority w:val="22"/>
    <w:qFormat/>
    <w:pPr>
      <w:pBdr/>
      <w:spacing/>
      <w:ind/>
    </w:pPr>
    <w:rPr>
      <w:b/>
      <w:bCs/>
    </w:rPr>
  </w:style>
  <w:style w:type="character" w:styleId="1212">
    <w:name w:val="Subtle Reference"/>
    <w:basedOn w:val="1034"/>
    <w:uiPriority w:val="31"/>
    <w:qFormat/>
    <w:pPr>
      <w:pBdr/>
      <w:spacing/>
      <w:ind/>
    </w:pPr>
    <w:rPr>
      <w:smallCaps/>
      <w:color w:val="5a5a5a" w:themeColor="text1" w:themeTint="A5"/>
    </w:rPr>
  </w:style>
  <w:style w:type="character" w:styleId="1213">
    <w:name w:val="Book Title"/>
    <w:basedOn w:val="1034"/>
    <w:uiPriority w:val="33"/>
    <w:qFormat/>
    <w:pPr>
      <w:pBdr/>
      <w:spacing/>
      <w:ind/>
    </w:pPr>
    <w:rPr>
      <w:b/>
      <w:bCs/>
      <w:i/>
      <w:iCs/>
      <w:spacing w:val="5"/>
    </w:rPr>
  </w:style>
  <w:style w:type="paragraph" w:styleId="1214">
    <w:name w:val="Header"/>
    <w:basedOn w:val="1024"/>
    <w:link w:val="1215"/>
    <w:uiPriority w:val="99"/>
    <w:unhideWhenUsed/>
    <w:pPr>
      <w:pBdr/>
      <w:tabs>
        <w:tab w:val="center" w:leader="none" w:pos="4844"/>
        <w:tab w:val="right" w:leader="none" w:pos="9689"/>
      </w:tabs>
      <w:spacing w:after="0" w:line="240" w:lineRule="auto"/>
      <w:ind/>
    </w:pPr>
  </w:style>
  <w:style w:type="character" w:styleId="1215" w:customStyle="1">
    <w:name w:val="Encabezado Car"/>
    <w:basedOn w:val="1034"/>
    <w:link w:val="1214"/>
    <w:uiPriority w:val="99"/>
    <w:pPr>
      <w:pBdr/>
      <w:spacing/>
      <w:ind/>
    </w:pPr>
  </w:style>
  <w:style w:type="paragraph" w:styleId="1216">
    <w:name w:val="Footer"/>
    <w:basedOn w:val="1024"/>
    <w:link w:val="1217"/>
    <w:uiPriority w:val="99"/>
    <w:unhideWhenUsed/>
    <w:pPr>
      <w:pBdr/>
      <w:tabs>
        <w:tab w:val="center" w:leader="none" w:pos="4844"/>
        <w:tab w:val="right" w:leader="none" w:pos="9689"/>
      </w:tabs>
      <w:spacing w:after="0" w:line="240" w:lineRule="auto"/>
      <w:ind/>
    </w:pPr>
  </w:style>
  <w:style w:type="character" w:styleId="1217" w:customStyle="1">
    <w:name w:val="Pie de página Car"/>
    <w:basedOn w:val="1034"/>
    <w:link w:val="1216"/>
    <w:uiPriority w:val="99"/>
    <w:pPr>
      <w:pBdr/>
      <w:spacing/>
      <w:ind/>
    </w:pPr>
  </w:style>
  <w:style w:type="paragraph" w:styleId="1218">
    <w:name w:val="Caption"/>
    <w:basedOn w:val="1024"/>
    <w:next w:val="1024"/>
    <w:uiPriority w:val="35"/>
    <w:unhideWhenUsed/>
    <w:qFormat/>
    <w:pPr>
      <w:pBdr/>
      <w:spacing w:line="240" w:lineRule="auto"/>
      <w:ind/>
    </w:pPr>
    <w:rPr>
      <w:i/>
      <w:iCs/>
      <w:color w:val="44546a" w:themeColor="text2"/>
      <w:sz w:val="18"/>
      <w:szCs w:val="18"/>
    </w:rPr>
  </w:style>
  <w:style w:type="paragraph" w:styleId="1219">
    <w:name w:val="footnote text"/>
    <w:basedOn w:val="1024"/>
    <w:link w:val="1220"/>
    <w:uiPriority w:val="99"/>
    <w:semiHidden/>
    <w:unhideWhenUsed/>
    <w:pPr>
      <w:pBdr/>
      <w:spacing w:after="0" w:line="240" w:lineRule="auto"/>
      <w:ind/>
    </w:pPr>
    <w:rPr>
      <w:sz w:val="20"/>
      <w:szCs w:val="20"/>
    </w:rPr>
  </w:style>
  <w:style w:type="character" w:styleId="1220" w:customStyle="1">
    <w:name w:val="Texto nota pie Car"/>
    <w:basedOn w:val="1034"/>
    <w:link w:val="1219"/>
    <w:uiPriority w:val="99"/>
    <w:semiHidden/>
    <w:pPr>
      <w:pBdr/>
      <w:spacing/>
      <w:ind/>
    </w:pPr>
    <w:rPr>
      <w:sz w:val="20"/>
      <w:szCs w:val="20"/>
    </w:rPr>
  </w:style>
  <w:style w:type="character" w:styleId="1221">
    <w:name w:val="footnote reference"/>
    <w:basedOn w:val="1034"/>
    <w:uiPriority w:val="99"/>
    <w:semiHidden/>
    <w:unhideWhenUsed/>
    <w:pPr>
      <w:pBdr/>
      <w:spacing/>
      <w:ind/>
    </w:pPr>
    <w:rPr>
      <w:vertAlign w:val="superscript"/>
    </w:rPr>
  </w:style>
  <w:style w:type="paragraph" w:styleId="1222">
    <w:name w:val="endnote text"/>
    <w:basedOn w:val="1024"/>
    <w:link w:val="1223"/>
    <w:uiPriority w:val="99"/>
    <w:semiHidden/>
    <w:unhideWhenUsed/>
    <w:pPr>
      <w:pBdr/>
      <w:spacing w:after="0" w:line="240" w:lineRule="auto"/>
      <w:ind/>
    </w:pPr>
    <w:rPr>
      <w:sz w:val="20"/>
      <w:szCs w:val="20"/>
    </w:rPr>
  </w:style>
  <w:style w:type="character" w:styleId="1223" w:customStyle="1">
    <w:name w:val="Texto nota al final Car"/>
    <w:basedOn w:val="1034"/>
    <w:link w:val="1222"/>
    <w:uiPriority w:val="99"/>
    <w:semiHidden/>
    <w:pPr>
      <w:pBdr/>
      <w:spacing/>
      <w:ind/>
    </w:pPr>
    <w:rPr>
      <w:sz w:val="20"/>
      <w:szCs w:val="20"/>
    </w:rPr>
  </w:style>
  <w:style w:type="character" w:styleId="1224">
    <w:name w:val="endnote reference"/>
    <w:basedOn w:val="1034"/>
    <w:uiPriority w:val="99"/>
    <w:semiHidden/>
    <w:unhideWhenUsed/>
    <w:pPr>
      <w:pBdr/>
      <w:spacing/>
      <w:ind/>
    </w:pPr>
    <w:rPr>
      <w:vertAlign w:val="superscript"/>
    </w:rPr>
  </w:style>
  <w:style w:type="character" w:styleId="1225">
    <w:name w:val="Hyperlink"/>
    <w:basedOn w:val="1034"/>
    <w:uiPriority w:val="99"/>
    <w:unhideWhenUsed/>
    <w:pPr>
      <w:pBdr/>
      <w:spacing/>
      <w:ind/>
    </w:pPr>
    <w:rPr>
      <w:color w:val="0563c1" w:themeColor="hyperlink"/>
      <w:u w:val="single"/>
    </w:rPr>
  </w:style>
  <w:style w:type="character" w:styleId="1226">
    <w:name w:val="FollowedHyperlink"/>
    <w:basedOn w:val="1034"/>
    <w:uiPriority w:val="99"/>
    <w:semiHidden/>
    <w:unhideWhenUsed/>
    <w:pPr>
      <w:pBdr/>
      <w:spacing/>
      <w:ind/>
    </w:pPr>
    <w:rPr>
      <w:color w:val="954f72" w:themeColor="followedHyperlink"/>
      <w:u w:val="single"/>
    </w:rPr>
  </w:style>
  <w:style w:type="paragraph" w:styleId="1227">
    <w:name w:val="TOC Heading"/>
    <w:uiPriority w:val="39"/>
    <w:unhideWhenUsed/>
    <w:pPr>
      <w:pBdr/>
      <w:spacing/>
      <w:ind/>
    </w:pPr>
  </w:style>
  <w:style w:type="paragraph" w:styleId="1228">
    <w:name w:val="table of figures"/>
    <w:basedOn w:val="1024"/>
    <w:next w:val="1024"/>
    <w:uiPriority w:val="99"/>
    <w:unhideWhenUsed/>
    <w:pPr>
      <w:pBdr/>
      <w:spacing w:after="0"/>
      <w:ind/>
    </w:pPr>
  </w:style>
  <w:style w:type="paragraph" w:styleId="1229">
    <w:name w:val="No Spacing"/>
    <w:basedOn w:val="1024"/>
    <w:uiPriority w:val="1"/>
    <w:qFormat/>
    <w:pPr>
      <w:pBdr/>
      <w:spacing w:after="0" w:line="240" w:lineRule="auto"/>
      <w:ind/>
    </w:pPr>
  </w:style>
  <w:style w:type="paragraph" w:styleId="1230">
    <w:name w:val="List Paragraph"/>
    <w:basedOn w:val="1024"/>
    <w:uiPriority w:val="34"/>
    <w:qFormat/>
    <w:pPr>
      <w:pBdr/>
      <w:spacing/>
      <w:ind w:left="720"/>
      <w:contextualSpacing w:val="true"/>
    </w:pPr>
  </w:style>
  <w:style w:type="paragraph" w:styleId="1231">
    <w:name w:val="annotation text"/>
    <w:basedOn w:val="1024"/>
    <w:link w:val="1232"/>
    <w:uiPriority w:val="99"/>
    <w:semiHidden/>
    <w:unhideWhenUsed/>
    <w:pPr>
      <w:pBdr/>
      <w:spacing w:line="240" w:lineRule="auto"/>
      <w:ind/>
    </w:pPr>
    <w:rPr>
      <w:sz w:val="20"/>
      <w:szCs w:val="20"/>
    </w:rPr>
  </w:style>
  <w:style w:type="character" w:styleId="1232" w:customStyle="1">
    <w:name w:val="Texto comentario Car"/>
    <w:basedOn w:val="1034"/>
    <w:link w:val="1231"/>
    <w:uiPriority w:val="99"/>
    <w:semiHidden/>
    <w:pPr>
      <w:pBdr/>
      <w:spacing/>
      <w:ind/>
    </w:pPr>
    <w:rPr>
      <w:sz w:val="20"/>
      <w:szCs w:val="20"/>
    </w:rPr>
  </w:style>
  <w:style w:type="character" w:styleId="1233">
    <w:name w:val="annotation reference"/>
    <w:basedOn w:val="1034"/>
    <w:uiPriority w:val="99"/>
    <w:semiHidden/>
    <w:unhideWhenUsed/>
    <w:pPr>
      <w:pBdr/>
      <w:spacing/>
      <w:ind/>
    </w:pPr>
    <w:rPr>
      <w:sz w:val="16"/>
      <w:szCs w:val="16"/>
    </w:rPr>
  </w:style>
  <w:style w:type="paragraph" w:styleId="1234">
    <w:name w:val="Balloon Text"/>
    <w:basedOn w:val="1024"/>
    <w:link w:val="1235"/>
    <w:uiPriority w:val="99"/>
    <w:semiHidden/>
    <w:unhideWhenUsed/>
    <w:pPr>
      <w:pBdr/>
      <w:spacing w:after="0" w:line="240" w:lineRule="auto"/>
      <w:ind/>
    </w:pPr>
    <w:rPr>
      <w:rFonts w:ascii="Times New Roman" w:hAnsi="Times New Roman" w:cs="Times New Roman"/>
      <w:sz w:val="18"/>
      <w:szCs w:val="18"/>
    </w:rPr>
  </w:style>
  <w:style w:type="character" w:styleId="1235" w:customStyle="1">
    <w:name w:val="Texto de globo Car"/>
    <w:basedOn w:val="1034"/>
    <w:link w:val="1234"/>
    <w:uiPriority w:val="99"/>
    <w:semiHidden/>
    <w:pPr>
      <w:pBdr/>
      <w:spacing/>
      <w:ind/>
    </w:pPr>
    <w:rPr>
      <w:rFonts w:ascii="Times New Roman" w:hAnsi="Times New Roman" w:cs="Times New Roman"/>
      <w:sz w:val="18"/>
      <w:szCs w:val="18"/>
    </w:rPr>
  </w:style>
  <w:style w:type="paragraph" w:styleId="1236">
    <w:name w:val="annotation subject"/>
    <w:basedOn w:val="1231"/>
    <w:next w:val="1231"/>
    <w:link w:val="1237"/>
    <w:uiPriority w:val="99"/>
    <w:semiHidden/>
    <w:unhideWhenUsed/>
    <w:pPr>
      <w:pBdr/>
      <w:spacing/>
      <w:ind/>
    </w:pPr>
    <w:rPr>
      <w:b/>
      <w:bCs/>
    </w:rPr>
  </w:style>
  <w:style w:type="character" w:styleId="1237" w:customStyle="1">
    <w:name w:val="Asunto del comentario Car"/>
    <w:basedOn w:val="1232"/>
    <w:link w:val="1236"/>
    <w:uiPriority w:val="99"/>
    <w:semiHidden/>
    <w:pPr>
      <w:pBdr/>
      <w:spacing/>
      <w:ind/>
    </w:pPr>
    <w:rPr>
      <w:b/>
      <w:bCs/>
      <w:sz w:val="20"/>
      <w:szCs w:val="20"/>
    </w:rPr>
  </w:style>
  <w:style w:type="paragraph" w:styleId="1238">
    <w:name w:val="Revision"/>
    <w:hidden/>
    <w:uiPriority w:val="99"/>
    <w:semiHidden/>
    <w:pPr>
      <w:pBdr/>
      <w:spacing w:after="0" w:line="240" w:lineRule="auto"/>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drive.google.com/drive/folders/1f_o59RB0h6S6n0Gg5dnKposv729Mbi-c" TargetMode="External"/><Relationship Id="rId14" Type="http://schemas.openxmlformats.org/officeDocument/2006/relationships/hyperlink" Target="https://sialmaraz.es/"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facebook.com/sialmarazfuturo" TargetMode="External"/><Relationship Id="rId2" Type="http://schemas.openxmlformats.org/officeDocument/2006/relationships/hyperlink" Target="https://www.tiktok.com/@sialmaraz" TargetMode="External"/><Relationship Id="rId3" Type="http://schemas.openxmlformats.org/officeDocument/2006/relationships/hyperlink" Target="https://x.com/SiAlmaraz" TargetMode="External"/><Relationship Id="rId4" Type="http://schemas.openxmlformats.org/officeDocument/2006/relationships/hyperlink" Target="https://www.linkedin.com/company/sialmaraz/" TargetMode="External"/><Relationship Id="rId5" Type="http://schemas.openxmlformats.org/officeDocument/2006/relationships/hyperlink" Target="http://prensa@sialmaraz.es" TargetMode="External"/></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ONLYOFFICE/9.1.0.167</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7</cp:revision>
  <dcterms:created xsi:type="dcterms:W3CDTF">2026-04-13T17:05:00Z</dcterms:created>
  <dcterms:modified xsi:type="dcterms:W3CDTF">2026-04-14T10:04:07Z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487dcae9,4b764fcf,5e4c9540</vt:lpwstr>
  </property>
  <property fmtid="{D5CDD505-2E9C-101B-9397-08002B2CF9AE}" pid="3" name="ClassificationContentMarkingFooterFontProps">
    <vt:lpwstr>#000000,10,Aptos</vt:lpwstr>
  </property>
  <property fmtid="{D5CDD505-2E9C-101B-9397-08002B2CF9AE}" pid="4" name="ClassificationContentMarkingFooterText">
    <vt:lpwstr>INFORMACIÓN CONFIDENCIAL</vt:lpwstr>
  </property>
  <property fmtid="{D5CDD505-2E9C-101B-9397-08002B2CF9AE}" pid="5" name="MSIP_Label_321472b5-857f-44cf-9aa7-53876f1f6bdf_Enabled">
    <vt:lpwstr>true</vt:lpwstr>
  </property>
  <property fmtid="{D5CDD505-2E9C-101B-9397-08002B2CF9AE}" pid="6" name="MSIP_Label_321472b5-857f-44cf-9aa7-53876f1f6bdf_SetDate">
    <vt:lpwstr>2026-04-14T09:50:59Z</vt:lpwstr>
  </property>
  <property fmtid="{D5CDD505-2E9C-101B-9397-08002B2CF9AE}" pid="7" name="MSIP_Label_321472b5-857f-44cf-9aa7-53876f1f6bdf_Method">
    <vt:lpwstr>Standard</vt:lpwstr>
  </property>
  <property fmtid="{D5CDD505-2E9C-101B-9397-08002B2CF9AE}" pid="8" name="MSIP_Label_321472b5-857f-44cf-9aa7-53876f1f6bdf_Name">
    <vt:lpwstr>General</vt:lpwstr>
  </property>
  <property fmtid="{D5CDD505-2E9C-101B-9397-08002B2CF9AE}" pid="9" name="MSIP_Label_321472b5-857f-44cf-9aa7-53876f1f6bdf_SiteId">
    <vt:lpwstr>7e2bff31-986d-4895-89c2-81d09a8e5494</vt:lpwstr>
  </property>
  <property fmtid="{D5CDD505-2E9C-101B-9397-08002B2CF9AE}" pid="10" name="MSIP_Label_321472b5-857f-44cf-9aa7-53876f1f6bdf_ActionId">
    <vt:lpwstr>d9730fdc-d6e2-4efc-b30e-d447925201da</vt:lpwstr>
  </property>
  <property fmtid="{D5CDD505-2E9C-101B-9397-08002B2CF9AE}" pid="11" name="MSIP_Label_321472b5-857f-44cf-9aa7-53876f1f6bdf_ContentBits">
    <vt:lpwstr>2</vt:lpwstr>
  </property>
  <property fmtid="{D5CDD505-2E9C-101B-9397-08002B2CF9AE}" pid="12" name="MSIP_Label_321472b5-857f-44cf-9aa7-53876f1f6bdf_Tag">
    <vt:lpwstr>10, 3, 0, 1</vt:lpwstr>
  </property>
</Properties>
</file>